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034"/>
      </w:tblGrid>
      <w:tr w:rsidR="00B96DFD" w:rsidRPr="00B96DFD" w:rsidTr="005520FD">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A0AEC" w:rsidRPr="00B96DFD" w:rsidRDefault="000A0AEC" w:rsidP="005520FD">
            <w:pPr>
              <w:ind w:left="-108"/>
              <w:rPr>
                <w:rFonts w:ascii="Arial" w:hAnsi="Arial" w:cs="Arial"/>
                <w:color w:val="365F91" w:themeColor="accent1" w:themeShade="BF"/>
                <w:lang w:val="es-MX"/>
              </w:rPr>
            </w:pPr>
            <w:r w:rsidRPr="00B96DFD">
              <w:rPr>
                <w:rFonts w:ascii="Arial" w:hAnsi="Arial" w:cs="Arial"/>
                <w:b/>
                <w:color w:val="365F91" w:themeColor="accent1" w:themeShade="BF"/>
                <w:lang w:val="es-MX"/>
              </w:rPr>
              <w:t xml:space="preserve">RECURSO DE REVISIÓN: </w:t>
            </w:r>
            <w:r w:rsidR="00793762" w:rsidRPr="00B96DFD">
              <w:rPr>
                <w:rFonts w:ascii="Arial" w:hAnsi="Arial" w:cs="Arial"/>
                <w:color w:val="365F91" w:themeColor="accent1" w:themeShade="BF"/>
                <w:lang w:val="es-MX"/>
              </w:rPr>
              <w:t>RR-015/2018</w:t>
            </w:r>
            <w:r w:rsidRPr="00B96DFD">
              <w:rPr>
                <w:rFonts w:ascii="Arial" w:hAnsi="Arial" w:cs="Arial"/>
                <w:color w:val="365F91" w:themeColor="accent1" w:themeShade="BF"/>
                <w:lang w:val="es-MX"/>
              </w:rPr>
              <w:t>-3</w:t>
            </w:r>
          </w:p>
        </w:tc>
      </w:tr>
      <w:tr w:rsidR="00B96DFD" w:rsidRPr="00B96DFD" w:rsidTr="005520FD">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A0AEC" w:rsidRPr="00B96DFD" w:rsidRDefault="000A0AEC" w:rsidP="005520FD">
            <w:pPr>
              <w:ind w:left="-108"/>
              <w:rPr>
                <w:rFonts w:ascii="Arial" w:hAnsi="Arial" w:cs="Arial"/>
                <w:color w:val="365F91" w:themeColor="accent1" w:themeShade="BF"/>
                <w:lang w:val="es-MX"/>
              </w:rPr>
            </w:pPr>
            <w:r w:rsidRPr="00B96DFD">
              <w:rPr>
                <w:rFonts w:ascii="Arial" w:hAnsi="Arial" w:cs="Arial"/>
                <w:b/>
                <w:color w:val="365F91" w:themeColor="accent1" w:themeShade="BF"/>
                <w:lang w:val="es-MX"/>
              </w:rPr>
              <w:t xml:space="preserve">ENTE OBLIGADO: </w:t>
            </w:r>
            <w:r w:rsidR="00793762" w:rsidRPr="00B96DFD">
              <w:rPr>
                <w:rFonts w:ascii="Arial" w:hAnsi="Arial" w:cs="Arial"/>
                <w:color w:val="365F91" w:themeColor="accent1" w:themeShade="BF"/>
                <w:lang w:val="es-MX"/>
              </w:rPr>
              <w:t>UNIVERSIDAD TECNOLÓGICA DE SAN LUIS POTOSÍ.</w:t>
            </w:r>
          </w:p>
        </w:tc>
      </w:tr>
      <w:tr w:rsidR="000A0AEC" w:rsidRPr="00B96DFD" w:rsidTr="005520FD">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A0AEC" w:rsidRPr="00B96DFD" w:rsidRDefault="000A0AEC" w:rsidP="005520FD">
            <w:pPr>
              <w:ind w:left="-108"/>
              <w:rPr>
                <w:rFonts w:ascii="Arial" w:hAnsi="Arial" w:cs="Arial"/>
                <w:color w:val="365F91" w:themeColor="accent1" w:themeShade="BF"/>
                <w:lang w:val="es-MX"/>
              </w:rPr>
            </w:pPr>
            <w:r w:rsidRPr="00B96DFD">
              <w:rPr>
                <w:rFonts w:ascii="Arial" w:hAnsi="Arial" w:cs="Arial"/>
                <w:b/>
                <w:color w:val="365F91" w:themeColor="accent1" w:themeShade="BF"/>
                <w:lang w:val="es-MX"/>
              </w:rPr>
              <w:t xml:space="preserve">COMISIONADO PONENTE: </w:t>
            </w:r>
            <w:r w:rsidRPr="00B96DFD">
              <w:rPr>
                <w:rFonts w:ascii="Arial" w:hAnsi="Arial" w:cs="Arial"/>
                <w:color w:val="365F91" w:themeColor="accent1" w:themeShade="BF"/>
                <w:lang w:val="es-MX"/>
              </w:rPr>
              <w:t>CLAUDIA ELIZABETH ÁVALOS CEDILLO</w:t>
            </w:r>
          </w:p>
        </w:tc>
      </w:tr>
    </w:tbl>
    <w:p w:rsidR="000A0AEC" w:rsidRPr="00B96DFD" w:rsidRDefault="000A0AEC" w:rsidP="000A0AEC">
      <w:pPr>
        <w:jc w:val="right"/>
        <w:rPr>
          <w:rFonts w:ascii="Arial" w:hAnsi="Arial" w:cs="Arial"/>
          <w:b/>
          <w:color w:val="365F91" w:themeColor="accent1" w:themeShade="BF"/>
          <w:lang w:val="es-MX"/>
        </w:rPr>
      </w:pPr>
    </w:p>
    <w:p w:rsidR="000A0AEC" w:rsidRPr="00B96DFD" w:rsidRDefault="000A0AEC" w:rsidP="000A0AEC">
      <w:pPr>
        <w:pStyle w:val="Textoindependienteprimerasangra"/>
        <w:spacing w:after="0"/>
        <w:ind w:firstLine="0"/>
        <w:rPr>
          <w:rFonts w:ascii="Arial" w:eastAsia="Arial Unicode MS" w:hAnsi="Arial" w:cs="Arial"/>
          <w:color w:val="365F91" w:themeColor="accent1" w:themeShade="BF"/>
          <w:szCs w:val="26"/>
          <w:lang w:val="es-MX"/>
        </w:rPr>
      </w:pPr>
      <w:r w:rsidRPr="00B96DFD">
        <w:rPr>
          <w:rFonts w:ascii="Arial" w:hAnsi="Arial" w:cs="Arial"/>
          <w:b/>
          <w:color w:val="365F91" w:themeColor="accent1" w:themeShade="BF"/>
          <w:lang w:val="es-MX"/>
        </w:rPr>
        <w:tab/>
      </w:r>
      <w:r w:rsidRPr="00B96DFD">
        <w:rPr>
          <w:rFonts w:ascii="Arial" w:eastAsia="Arial Unicode MS" w:hAnsi="Arial" w:cs="Arial"/>
          <w:color w:val="365F91" w:themeColor="accent1" w:themeShade="BF"/>
          <w:szCs w:val="26"/>
          <w:lang w:val="es-MX"/>
        </w:rPr>
        <w:t xml:space="preserve">San Luis Potosí, San Luis Potosí, catorce de </w:t>
      </w:r>
      <w:r w:rsidR="00793762" w:rsidRPr="00B96DFD">
        <w:rPr>
          <w:rFonts w:ascii="Arial" w:eastAsia="Arial Unicode MS" w:hAnsi="Arial" w:cs="Arial"/>
          <w:color w:val="365F91" w:themeColor="accent1" w:themeShade="BF"/>
          <w:szCs w:val="26"/>
          <w:lang w:val="es-MX"/>
        </w:rPr>
        <w:t>febrero de dos mil dieciocho</w:t>
      </w:r>
      <w:r w:rsidRPr="00B96DFD">
        <w:rPr>
          <w:rFonts w:ascii="Arial" w:eastAsia="Arial Unicode MS" w:hAnsi="Arial" w:cs="Arial"/>
          <w:color w:val="365F91" w:themeColor="accent1" w:themeShade="BF"/>
          <w:szCs w:val="26"/>
          <w:lang w:val="es-MX"/>
        </w:rPr>
        <w:t>.</w:t>
      </w:r>
    </w:p>
    <w:p w:rsidR="000A0AEC" w:rsidRPr="00B96DFD" w:rsidRDefault="000A0AEC" w:rsidP="000A0AEC">
      <w:pPr>
        <w:pStyle w:val="Textoindependienteprimerasangra"/>
        <w:spacing w:before="240" w:after="0"/>
        <w:ind w:firstLine="0"/>
        <w:rPr>
          <w:rFonts w:ascii="Arial" w:eastAsia="Arial Unicode MS" w:hAnsi="Arial" w:cs="Arial"/>
          <w:color w:val="365F91" w:themeColor="accent1" w:themeShade="BF"/>
          <w:szCs w:val="26"/>
          <w:lang w:val="es-MX"/>
        </w:rPr>
      </w:pPr>
      <w:r w:rsidRPr="00B96DFD">
        <w:rPr>
          <w:rFonts w:ascii="Arial" w:eastAsia="Arial Unicode MS" w:hAnsi="Arial" w:cs="Arial"/>
          <w:color w:val="365F91" w:themeColor="accent1" w:themeShade="BF"/>
          <w:szCs w:val="26"/>
          <w:lang w:val="es-MX"/>
        </w:rPr>
        <w:tab/>
      </w:r>
      <w:r w:rsidRPr="00B96DFD">
        <w:rPr>
          <w:rFonts w:ascii="Arial" w:eastAsia="Arial Unicode MS" w:hAnsi="Arial" w:cs="Arial"/>
          <w:b/>
          <w:color w:val="365F91" w:themeColor="accent1" w:themeShade="BF"/>
          <w:szCs w:val="26"/>
          <w:lang w:val="es-MX"/>
        </w:rPr>
        <w:t>VISTOS</w:t>
      </w:r>
      <w:r w:rsidRPr="00B96DFD">
        <w:rPr>
          <w:rFonts w:ascii="Arial" w:eastAsia="Arial Unicode MS" w:hAnsi="Arial" w:cs="Arial"/>
          <w:color w:val="365F91" w:themeColor="accent1" w:themeShade="BF"/>
          <w:szCs w:val="26"/>
          <w:lang w:val="es-MX"/>
        </w:rPr>
        <w:t xml:space="preserve"> para resolver los autos que conforman el expediente </w:t>
      </w:r>
      <w:r w:rsidR="00793762" w:rsidRPr="00B96DFD">
        <w:rPr>
          <w:rFonts w:ascii="Arial" w:eastAsia="Arial Unicode MS" w:hAnsi="Arial" w:cs="Arial"/>
          <w:b/>
          <w:color w:val="365F91" w:themeColor="accent1" w:themeShade="BF"/>
          <w:szCs w:val="26"/>
          <w:lang w:val="es-MX"/>
        </w:rPr>
        <w:t>015</w:t>
      </w:r>
      <w:r w:rsidR="00793762" w:rsidRPr="00B96DFD">
        <w:rPr>
          <w:rFonts w:ascii="Arial" w:hAnsi="Arial" w:cs="Arial"/>
          <w:b/>
          <w:color w:val="365F91" w:themeColor="accent1" w:themeShade="BF"/>
          <w:lang w:val="es-MX"/>
        </w:rPr>
        <w:t>/2018</w:t>
      </w:r>
      <w:r w:rsidRPr="00B96DFD">
        <w:rPr>
          <w:rFonts w:ascii="Arial" w:hAnsi="Arial" w:cs="Arial"/>
          <w:b/>
          <w:color w:val="365F91" w:themeColor="accent1" w:themeShade="BF"/>
          <w:lang w:val="es-MX"/>
        </w:rPr>
        <w:t xml:space="preserve">-3 </w:t>
      </w:r>
      <w:r w:rsidRPr="00B96DFD">
        <w:rPr>
          <w:rFonts w:ascii="Arial" w:eastAsia="Arial Unicode MS" w:hAnsi="Arial" w:cs="Arial"/>
          <w:color w:val="365F91" w:themeColor="accent1" w:themeShade="BF"/>
          <w:szCs w:val="26"/>
          <w:lang w:val="es-MX"/>
        </w:rPr>
        <w:t xml:space="preserve">del índice de esta comisión, relativo al </w:t>
      </w:r>
      <w:r w:rsidRPr="00B96DFD">
        <w:rPr>
          <w:rFonts w:ascii="Arial" w:eastAsia="Arial Unicode MS" w:hAnsi="Arial" w:cs="Arial"/>
          <w:b/>
          <w:color w:val="365F91" w:themeColor="accent1" w:themeShade="BF"/>
          <w:szCs w:val="26"/>
          <w:lang w:val="es-MX"/>
        </w:rPr>
        <w:t>recurso de revisión</w:t>
      </w:r>
      <w:r w:rsidRPr="00B96DFD">
        <w:rPr>
          <w:rFonts w:ascii="Arial" w:eastAsia="Arial Unicode MS" w:hAnsi="Arial" w:cs="Arial"/>
          <w:color w:val="365F91" w:themeColor="accent1" w:themeShade="BF"/>
          <w:szCs w:val="26"/>
          <w:lang w:val="es-MX"/>
        </w:rPr>
        <w:t xml:space="preserve">, interpuesto contra la respuesta </w:t>
      </w:r>
      <w:r w:rsidR="00793762" w:rsidRPr="00B96DFD">
        <w:rPr>
          <w:rFonts w:ascii="Arial" w:eastAsia="Arial Unicode MS" w:hAnsi="Arial" w:cs="Arial"/>
          <w:color w:val="365F91" w:themeColor="accent1" w:themeShade="BF"/>
          <w:szCs w:val="26"/>
          <w:lang w:val="es-MX"/>
        </w:rPr>
        <w:t xml:space="preserve">emitida por la </w:t>
      </w:r>
      <w:r w:rsidR="00793762" w:rsidRPr="00B96DFD">
        <w:rPr>
          <w:rFonts w:ascii="Arial" w:hAnsi="Arial" w:cs="Arial"/>
          <w:b/>
          <w:color w:val="365F91" w:themeColor="accent1" w:themeShade="BF"/>
          <w:lang w:val="es-MX"/>
        </w:rPr>
        <w:t xml:space="preserve">UNIVERSIDAD TECNOLÓGICA DE SAN LUIS POTOSÍ, </w:t>
      </w:r>
      <w:r w:rsidRPr="00B96DFD">
        <w:rPr>
          <w:rFonts w:ascii="Arial" w:eastAsia="Arial Unicode MS" w:hAnsi="Arial" w:cs="Arial"/>
          <w:color w:val="365F91" w:themeColor="accent1" w:themeShade="BF"/>
          <w:szCs w:val="26"/>
          <w:lang w:val="es-MX"/>
        </w:rPr>
        <w:t>y</w:t>
      </w:r>
      <w:r w:rsidRPr="00B96DFD">
        <w:rPr>
          <w:rFonts w:ascii="Arial" w:eastAsia="Arial Unicode MS" w:hAnsi="Arial" w:cs="Arial"/>
          <w:b/>
          <w:color w:val="365F91" w:themeColor="accent1" w:themeShade="BF"/>
          <w:szCs w:val="26"/>
          <w:lang w:val="es-MX"/>
        </w:rPr>
        <w:t xml:space="preserve">  </w:t>
      </w:r>
    </w:p>
    <w:p w:rsidR="000A0AEC" w:rsidRPr="00B96DFD" w:rsidRDefault="000A0AEC" w:rsidP="000A0AEC">
      <w:pPr>
        <w:pStyle w:val="Textoindependienteprimerasangra"/>
        <w:spacing w:before="240"/>
        <w:ind w:firstLine="900"/>
        <w:jc w:val="center"/>
        <w:rPr>
          <w:rFonts w:ascii="Arial" w:eastAsia="Arial Unicode MS" w:hAnsi="Arial" w:cs="Arial"/>
          <w:b/>
          <w:color w:val="365F91" w:themeColor="accent1" w:themeShade="BF"/>
          <w:szCs w:val="26"/>
          <w:lang w:val="es-MX"/>
        </w:rPr>
      </w:pPr>
      <w:r w:rsidRPr="00B96DFD">
        <w:rPr>
          <w:rFonts w:ascii="Arial" w:eastAsia="Arial Unicode MS" w:hAnsi="Arial" w:cs="Arial"/>
          <w:b/>
          <w:color w:val="365F91" w:themeColor="accent1" w:themeShade="BF"/>
          <w:szCs w:val="26"/>
          <w:lang w:val="es-MX"/>
        </w:rPr>
        <w:t>A N T E C E D E N T E S:</w:t>
      </w:r>
    </w:p>
    <w:p w:rsidR="000A0AEC" w:rsidRPr="00B96DFD" w:rsidRDefault="000A0AEC" w:rsidP="000A0AEC">
      <w:pPr>
        <w:pStyle w:val="Textoindependienteprimerasangra"/>
        <w:spacing w:after="0"/>
        <w:ind w:firstLine="900"/>
        <w:rPr>
          <w:rFonts w:ascii="Arial" w:eastAsia="Arial Unicode MS" w:hAnsi="Arial" w:cs="Arial"/>
          <w:b/>
          <w:color w:val="365F91" w:themeColor="accent1" w:themeShade="BF"/>
          <w:szCs w:val="26"/>
          <w:lang w:val="es-MX"/>
        </w:rPr>
      </w:pPr>
      <w:r w:rsidRPr="00B96DFD">
        <w:rPr>
          <w:rFonts w:ascii="Arial" w:eastAsia="Arial Unicode MS" w:hAnsi="Arial" w:cs="Arial"/>
          <w:b/>
          <w:color w:val="365F91" w:themeColor="accent1" w:themeShade="BF"/>
          <w:szCs w:val="26"/>
          <w:lang w:val="es-MX"/>
        </w:rPr>
        <w:t xml:space="preserve">PRIMERO. Solicitud de Información. </w:t>
      </w:r>
      <w:r w:rsidRPr="00B96DFD">
        <w:rPr>
          <w:rFonts w:ascii="Arial" w:eastAsia="Arial Unicode MS" w:hAnsi="Arial" w:cs="Arial"/>
          <w:color w:val="365F91" w:themeColor="accent1" w:themeShade="BF"/>
          <w:szCs w:val="26"/>
          <w:lang w:val="es-MX"/>
        </w:rPr>
        <w:t>El doce de</w:t>
      </w:r>
      <w:r w:rsidR="00793762" w:rsidRPr="00B96DFD">
        <w:rPr>
          <w:rFonts w:ascii="Arial" w:eastAsia="Arial Unicode MS" w:hAnsi="Arial" w:cs="Arial"/>
          <w:color w:val="365F91" w:themeColor="accent1" w:themeShade="BF"/>
          <w:szCs w:val="26"/>
          <w:lang w:val="es-MX"/>
        </w:rPr>
        <w:t xml:space="preserve"> diciembre </w:t>
      </w:r>
      <w:r w:rsidRPr="00B96DFD">
        <w:rPr>
          <w:rFonts w:ascii="Arial" w:eastAsia="Arial Unicode MS" w:hAnsi="Arial" w:cs="Arial"/>
          <w:color w:val="365F91" w:themeColor="accent1" w:themeShade="BF"/>
          <w:szCs w:val="26"/>
          <w:lang w:val="es-MX"/>
        </w:rPr>
        <w:t>de dos mil diecisiete, el hoy recurrente presentó, a través de la Plataforma Nacional de Transparencia,</w:t>
      </w:r>
      <w:r w:rsidR="00793762" w:rsidRPr="00B96DFD">
        <w:rPr>
          <w:rFonts w:ascii="Arial" w:eastAsia="Arial Unicode MS" w:hAnsi="Arial" w:cs="Arial"/>
          <w:color w:val="365F91" w:themeColor="accent1" w:themeShade="BF"/>
          <w:szCs w:val="26"/>
          <w:lang w:val="es-MX"/>
        </w:rPr>
        <w:t xml:space="preserve"> una solicitud de información a la </w:t>
      </w:r>
      <w:r w:rsidR="00793762" w:rsidRPr="00B96DFD">
        <w:rPr>
          <w:rFonts w:ascii="Arial" w:hAnsi="Arial" w:cs="Arial"/>
          <w:b/>
          <w:color w:val="365F91" w:themeColor="accent1" w:themeShade="BF"/>
          <w:lang w:val="es-MX"/>
        </w:rPr>
        <w:t>UNIVERSIDAD TECNOLÓGICA DE SAN LUIS POTOSÍ</w:t>
      </w:r>
      <w:r w:rsidRPr="00B96DFD">
        <w:rPr>
          <w:rFonts w:ascii="Arial" w:eastAsia="Arial Unicode MS" w:hAnsi="Arial" w:cs="Arial"/>
          <w:b/>
          <w:color w:val="365F91" w:themeColor="accent1" w:themeShade="BF"/>
          <w:szCs w:val="26"/>
          <w:lang w:val="es-MX"/>
        </w:rPr>
        <w:t xml:space="preserve">, </w:t>
      </w:r>
      <w:r w:rsidRPr="00B96DFD">
        <w:rPr>
          <w:rFonts w:ascii="Arial" w:eastAsia="Arial Unicode MS" w:hAnsi="Arial" w:cs="Arial"/>
          <w:color w:val="365F91" w:themeColor="accent1" w:themeShade="BF"/>
          <w:szCs w:val="26"/>
          <w:lang w:val="es-MX"/>
        </w:rPr>
        <w:t>la cual quedó registrada bajo el n</w:t>
      </w:r>
      <w:r w:rsidR="00793762" w:rsidRPr="00B96DFD">
        <w:rPr>
          <w:rFonts w:ascii="Arial" w:eastAsia="Arial Unicode MS" w:hAnsi="Arial" w:cs="Arial"/>
          <w:color w:val="365F91" w:themeColor="accent1" w:themeShade="BF"/>
          <w:szCs w:val="26"/>
          <w:lang w:val="es-MX"/>
        </w:rPr>
        <w:t>úmero 00853317</w:t>
      </w:r>
      <w:r w:rsidRPr="00B96DFD">
        <w:rPr>
          <w:rFonts w:ascii="Arial" w:eastAsia="Arial Unicode MS" w:hAnsi="Arial" w:cs="Arial"/>
          <w:color w:val="365F91" w:themeColor="accent1" w:themeShade="BF"/>
          <w:szCs w:val="26"/>
          <w:lang w:val="es-MX"/>
        </w:rPr>
        <w:t>, en la que requirió lo siguiente:</w:t>
      </w:r>
    </w:p>
    <w:p w:rsidR="000A0AEC" w:rsidRPr="00B96DFD" w:rsidRDefault="000A0AEC" w:rsidP="000A0AEC">
      <w:pPr>
        <w:pStyle w:val="Textoindependienteprimerasangra"/>
        <w:spacing w:line="240" w:lineRule="auto"/>
        <w:ind w:left="851" w:firstLine="567"/>
        <w:rPr>
          <w:rFonts w:ascii="Arial" w:eastAsia="Arial Unicode MS" w:hAnsi="Arial" w:cs="Arial"/>
          <w:i/>
          <w:color w:val="365F91" w:themeColor="accent1" w:themeShade="BF"/>
          <w:sz w:val="22"/>
          <w:szCs w:val="22"/>
          <w:lang w:val="es-MX"/>
        </w:rPr>
      </w:pPr>
      <w:r w:rsidRPr="00B96DFD">
        <w:rPr>
          <w:rFonts w:ascii="Arial" w:eastAsia="Arial Unicode MS" w:hAnsi="Arial" w:cs="Arial"/>
          <w:i/>
          <w:color w:val="365F91" w:themeColor="accent1" w:themeShade="BF"/>
          <w:sz w:val="22"/>
          <w:szCs w:val="22"/>
          <w:lang w:val="es-MX"/>
        </w:rPr>
        <w:t>“</w:t>
      </w:r>
      <w:r w:rsidR="00793762" w:rsidRPr="00B96DFD">
        <w:rPr>
          <w:rFonts w:ascii="Arial" w:eastAsia="Arial Unicode MS" w:hAnsi="Arial" w:cs="Arial"/>
          <w:i/>
          <w:color w:val="365F91" w:themeColor="accent1" w:themeShade="BF"/>
          <w:sz w:val="22"/>
          <w:szCs w:val="22"/>
          <w:lang w:val="es-MX"/>
        </w:rPr>
        <w:t>…Proporcionar el padrón de trabajadores afiliados al Sindicato Nacional de empleados y trabajadores docentes técnicos, administrativos CTM…”</w:t>
      </w:r>
      <w:r w:rsidRPr="00B96DFD">
        <w:rPr>
          <w:rFonts w:ascii="Arial" w:eastAsia="Arial Unicode MS" w:hAnsi="Arial" w:cs="Arial"/>
          <w:i/>
          <w:color w:val="365F91" w:themeColor="accent1" w:themeShade="BF"/>
          <w:sz w:val="22"/>
          <w:szCs w:val="22"/>
          <w:lang w:val="es-MX"/>
        </w:rPr>
        <w:t>.</w:t>
      </w:r>
    </w:p>
    <w:p w:rsidR="000A0AEC" w:rsidRPr="00B96DFD" w:rsidRDefault="000A0AEC" w:rsidP="000A0AEC">
      <w:pPr>
        <w:spacing w:before="240"/>
        <w:rPr>
          <w:rFonts w:ascii="Arial" w:eastAsia="Arial Unicode MS" w:hAnsi="Arial" w:cs="Arial"/>
          <w:color w:val="365F91" w:themeColor="accent1" w:themeShade="BF"/>
        </w:rPr>
      </w:pPr>
      <w:r w:rsidRPr="00B96DFD">
        <w:rPr>
          <w:rFonts w:ascii="Arial" w:eastAsia="Arial Unicode MS" w:hAnsi="Arial" w:cs="Arial"/>
          <w:color w:val="365F91" w:themeColor="accent1" w:themeShade="BF"/>
        </w:rPr>
        <w:tab/>
      </w:r>
      <w:r w:rsidRPr="00B96DFD">
        <w:rPr>
          <w:rFonts w:ascii="Arial" w:eastAsia="Arial Unicode MS" w:hAnsi="Arial" w:cs="Arial"/>
          <w:b/>
          <w:color w:val="365F91" w:themeColor="accent1" w:themeShade="BF"/>
        </w:rPr>
        <w:t xml:space="preserve">SEGUNDO. Respuesta del sujeto obligado. </w:t>
      </w:r>
      <w:r w:rsidRPr="00B96DFD">
        <w:rPr>
          <w:rFonts w:ascii="Arial" w:eastAsia="Arial Unicode MS" w:hAnsi="Arial" w:cs="Arial"/>
          <w:color w:val="365F91" w:themeColor="accent1" w:themeShade="BF"/>
        </w:rPr>
        <w:t xml:space="preserve">El </w:t>
      </w:r>
      <w:r w:rsidR="00793762" w:rsidRPr="00B96DFD">
        <w:rPr>
          <w:rFonts w:ascii="Arial" w:eastAsia="Arial Unicode MS" w:hAnsi="Arial" w:cs="Arial"/>
          <w:color w:val="365F91" w:themeColor="accent1" w:themeShade="BF"/>
        </w:rPr>
        <w:t>tres de enero de dos mil dieciocho</w:t>
      </w:r>
      <w:r w:rsidRPr="00B96DFD">
        <w:rPr>
          <w:rFonts w:ascii="Arial" w:eastAsia="Arial Unicode MS" w:hAnsi="Arial" w:cs="Arial"/>
          <w:color w:val="365F91" w:themeColor="accent1" w:themeShade="BF"/>
        </w:rPr>
        <w:t>, el sujeto obligado emitió su respuesta en los siguientes términos:</w:t>
      </w:r>
    </w:p>
    <w:p w:rsidR="000A0AEC" w:rsidRPr="00B96DFD" w:rsidRDefault="00793762" w:rsidP="000A0AEC">
      <w:pPr>
        <w:ind w:left="709" w:firstLine="709"/>
        <w:rPr>
          <w:rFonts w:ascii="Arial" w:eastAsia="Arial Unicode MS" w:hAnsi="Arial" w:cs="Arial"/>
          <w:i/>
          <w:color w:val="365F91" w:themeColor="accent1" w:themeShade="BF"/>
          <w:sz w:val="22"/>
        </w:rPr>
      </w:pPr>
      <w:r w:rsidRPr="00B96DFD">
        <w:rPr>
          <w:rFonts w:ascii="Arial" w:eastAsia="Arial Unicode MS" w:hAnsi="Arial" w:cs="Arial"/>
          <w:i/>
          <w:color w:val="365F91" w:themeColor="accent1" w:themeShade="BF"/>
          <w:sz w:val="22"/>
        </w:rPr>
        <w:t xml:space="preserve">“…La UTSLP </w:t>
      </w:r>
      <w:r w:rsidR="007B477F" w:rsidRPr="00B96DFD">
        <w:rPr>
          <w:rFonts w:ascii="Arial" w:eastAsia="Arial Unicode MS" w:hAnsi="Arial" w:cs="Arial"/>
          <w:i/>
          <w:color w:val="365F91" w:themeColor="accent1" w:themeShade="BF"/>
          <w:sz w:val="22"/>
        </w:rPr>
        <w:t>está</w:t>
      </w:r>
      <w:r w:rsidRPr="00B96DFD">
        <w:rPr>
          <w:rFonts w:ascii="Arial" w:eastAsia="Arial Unicode MS" w:hAnsi="Arial" w:cs="Arial"/>
          <w:i/>
          <w:color w:val="365F91" w:themeColor="accent1" w:themeShade="BF"/>
          <w:sz w:val="22"/>
        </w:rPr>
        <w:t xml:space="preserve"> obligada a tener padrón de trab</w:t>
      </w:r>
      <w:r w:rsidR="00B25C23" w:rsidRPr="00B96DFD">
        <w:rPr>
          <w:rFonts w:ascii="Arial" w:eastAsia="Arial Unicode MS" w:hAnsi="Arial" w:cs="Arial"/>
          <w:i/>
          <w:color w:val="365F91" w:themeColor="accent1" w:themeShade="BF"/>
          <w:sz w:val="22"/>
        </w:rPr>
        <w:t>a</w:t>
      </w:r>
      <w:r w:rsidRPr="00B96DFD">
        <w:rPr>
          <w:rFonts w:ascii="Arial" w:eastAsia="Arial Unicode MS" w:hAnsi="Arial" w:cs="Arial"/>
          <w:i/>
          <w:color w:val="365F91" w:themeColor="accent1" w:themeShade="BF"/>
          <w:sz w:val="22"/>
        </w:rPr>
        <w:t xml:space="preserve">jadores afiliados al Sindicato Nacional de Empleados y trabajadores docentes, técnicos, administrativos </w:t>
      </w:r>
      <w:r w:rsidR="00730FD6" w:rsidRPr="00B96DFD">
        <w:rPr>
          <w:rFonts w:ascii="Arial" w:eastAsia="Arial Unicode MS" w:hAnsi="Arial" w:cs="Arial"/>
          <w:i/>
          <w:color w:val="365F91" w:themeColor="accent1" w:themeShade="BF"/>
          <w:sz w:val="22"/>
        </w:rPr>
        <w:t>CTM…</w:t>
      </w:r>
      <w:r w:rsidRPr="00B96DFD">
        <w:rPr>
          <w:rFonts w:ascii="Arial" w:eastAsia="Arial Unicode MS" w:hAnsi="Arial" w:cs="Arial"/>
          <w:i/>
          <w:color w:val="365F91" w:themeColor="accent1" w:themeShade="BF"/>
          <w:sz w:val="22"/>
        </w:rPr>
        <w:t xml:space="preserve">”. </w:t>
      </w:r>
    </w:p>
    <w:p w:rsidR="00B25C23" w:rsidRPr="00B96DFD" w:rsidRDefault="00B25C23" w:rsidP="000A0AEC">
      <w:pPr>
        <w:ind w:left="709" w:firstLine="709"/>
        <w:rPr>
          <w:rFonts w:ascii="Arial" w:eastAsia="Arial Unicode MS" w:hAnsi="Arial" w:cs="Arial"/>
          <w:i/>
          <w:color w:val="365F91" w:themeColor="accent1" w:themeShade="BF"/>
          <w:sz w:val="22"/>
        </w:rPr>
      </w:pPr>
    </w:p>
    <w:p w:rsidR="000A0AEC" w:rsidRPr="00B96DFD" w:rsidRDefault="000A0AEC" w:rsidP="000A0AEC">
      <w:pPr>
        <w:rPr>
          <w:rFonts w:ascii="Arial" w:hAnsi="Arial" w:cs="Arial"/>
          <w:color w:val="365F91" w:themeColor="accent1" w:themeShade="BF"/>
          <w:szCs w:val="26"/>
        </w:rPr>
      </w:pPr>
      <w:r w:rsidRPr="00B96DFD">
        <w:rPr>
          <w:rFonts w:ascii="Arial" w:hAnsi="Arial" w:cs="Arial"/>
          <w:b/>
          <w:color w:val="365F91" w:themeColor="accent1" w:themeShade="BF"/>
          <w:szCs w:val="26"/>
        </w:rPr>
        <w:tab/>
        <w:t xml:space="preserve">TERCERO. Interposición del recurso de revisión. </w:t>
      </w:r>
      <w:r w:rsidRPr="00B96DFD">
        <w:rPr>
          <w:rFonts w:ascii="Arial" w:hAnsi="Arial" w:cs="Arial"/>
          <w:color w:val="365F91" w:themeColor="accent1" w:themeShade="BF"/>
          <w:szCs w:val="26"/>
        </w:rPr>
        <w:t xml:space="preserve">El </w:t>
      </w:r>
      <w:r w:rsidR="00B25C23" w:rsidRPr="00B96DFD">
        <w:rPr>
          <w:rFonts w:ascii="Arial" w:hAnsi="Arial" w:cs="Arial"/>
          <w:color w:val="365F91" w:themeColor="accent1" w:themeShade="BF"/>
          <w:szCs w:val="26"/>
        </w:rPr>
        <w:t>ocho de enero de dos mil dieciocho</w:t>
      </w:r>
      <w:r w:rsidRPr="00B96DFD">
        <w:rPr>
          <w:rFonts w:ascii="Arial" w:hAnsi="Arial" w:cs="Arial"/>
          <w:color w:val="365F91" w:themeColor="accent1" w:themeShade="BF"/>
          <w:szCs w:val="26"/>
        </w:rPr>
        <w:t>, el recurrente interpuso el presente medio de impugnaci</w:t>
      </w:r>
      <w:r w:rsidR="00B25C23" w:rsidRPr="00B96DFD">
        <w:rPr>
          <w:rFonts w:ascii="Arial" w:hAnsi="Arial" w:cs="Arial"/>
          <w:color w:val="365F91" w:themeColor="accent1" w:themeShade="BF"/>
          <w:szCs w:val="26"/>
        </w:rPr>
        <w:t>ón, mismo que fue recibido el mismo día</w:t>
      </w:r>
      <w:r w:rsidRPr="00B96DFD">
        <w:rPr>
          <w:rFonts w:ascii="Arial" w:hAnsi="Arial" w:cs="Arial"/>
          <w:color w:val="365F91" w:themeColor="accent1" w:themeShade="BF"/>
          <w:szCs w:val="26"/>
        </w:rPr>
        <w:t xml:space="preserve">, </w:t>
      </w:r>
      <w:r w:rsidR="00B25C23" w:rsidRPr="00B96DFD">
        <w:rPr>
          <w:rFonts w:ascii="Arial" w:hAnsi="Arial" w:cs="Arial"/>
          <w:color w:val="365F91" w:themeColor="accent1" w:themeShade="BF"/>
          <w:szCs w:val="26"/>
        </w:rPr>
        <w:t xml:space="preserve">en los que </w:t>
      </w:r>
      <w:r w:rsidRPr="00B96DFD">
        <w:rPr>
          <w:rFonts w:ascii="Arial" w:hAnsi="Arial" w:cs="Arial"/>
          <w:color w:val="365F91" w:themeColor="accent1" w:themeShade="BF"/>
          <w:szCs w:val="26"/>
        </w:rPr>
        <w:t>señaló:</w:t>
      </w:r>
      <w:r w:rsidRPr="00B96DFD">
        <w:rPr>
          <w:rFonts w:ascii="Arial" w:hAnsi="Arial" w:cs="Arial"/>
          <w:i/>
          <w:color w:val="365F91" w:themeColor="accent1" w:themeShade="BF"/>
          <w:sz w:val="22"/>
        </w:rPr>
        <w:tab/>
      </w:r>
    </w:p>
    <w:p w:rsidR="00AB0D75" w:rsidRPr="00B96DFD" w:rsidRDefault="000A0AEC" w:rsidP="000A0AEC">
      <w:pPr>
        <w:spacing w:after="240"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lastRenderedPageBreak/>
        <w:t>“</w:t>
      </w:r>
      <w:r w:rsidR="00AB0D75" w:rsidRPr="00B96DFD">
        <w:rPr>
          <w:rFonts w:ascii="Arial" w:hAnsi="Arial" w:cs="Arial"/>
          <w:i/>
          <w:color w:val="365F91" w:themeColor="accent1" w:themeShade="BF"/>
          <w:sz w:val="22"/>
          <w:szCs w:val="22"/>
        </w:rPr>
        <w:t xml:space="preserve">…La UTSLP no cuenta con el padrón trabajadores afiliados al Sindicato Nacional de empleados y trabajadores docentes técnicos. ADMVOS. </w:t>
      </w:r>
      <w:proofErr w:type="gramStart"/>
      <w:r w:rsidR="00AB0D75" w:rsidRPr="00B96DFD">
        <w:rPr>
          <w:rFonts w:ascii="Arial" w:hAnsi="Arial" w:cs="Arial"/>
          <w:i/>
          <w:color w:val="365F91" w:themeColor="accent1" w:themeShade="BF"/>
          <w:sz w:val="22"/>
          <w:szCs w:val="22"/>
        </w:rPr>
        <w:t>CTM</w:t>
      </w:r>
      <w:proofErr w:type="gramEnd"/>
      <w:r w:rsidR="00AB0D75" w:rsidRPr="00B96DFD">
        <w:rPr>
          <w:rFonts w:ascii="Arial" w:hAnsi="Arial" w:cs="Arial"/>
          <w:i/>
          <w:color w:val="365F91" w:themeColor="accent1" w:themeShade="BF"/>
          <w:sz w:val="22"/>
          <w:szCs w:val="22"/>
        </w:rPr>
        <w:t xml:space="preserve"> así como el nombre y puesto de cada trabajador afiliado. </w:t>
      </w:r>
    </w:p>
    <w:p w:rsidR="00AB0D75" w:rsidRPr="00B96DFD" w:rsidRDefault="00AB0D75" w:rsidP="000A0AEC">
      <w:pPr>
        <w:spacing w:after="240"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Dado que la institución rebaja el 1% del salario como cuota sindical obligatoria a los trabajadores afiliados, vía nómina por medio del Departamento de Recursos Humanos. </w:t>
      </w:r>
    </w:p>
    <w:p w:rsidR="00AB0D75" w:rsidRPr="00B96DFD" w:rsidRDefault="00AB0D75" w:rsidP="000A0AEC">
      <w:pPr>
        <w:spacing w:after="240"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Así mismo la Ley Federal del Trabajo establece en el artículo 377: son obligaciones de los sindicatos: III. Informar a la misma autoridad cada tres meses, por lo menos, de las altas y bajas de sus miembros. </w:t>
      </w:r>
    </w:p>
    <w:p w:rsidR="000A0AEC" w:rsidRPr="00B96DFD" w:rsidRDefault="007B477F" w:rsidP="000A0AEC">
      <w:pPr>
        <w:spacing w:after="240"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Así</w:t>
      </w:r>
      <w:r w:rsidR="00AB0D75" w:rsidRPr="00B96DFD">
        <w:rPr>
          <w:rFonts w:ascii="Arial" w:hAnsi="Arial" w:cs="Arial"/>
          <w:i/>
          <w:color w:val="365F91" w:themeColor="accent1" w:themeShade="BF"/>
          <w:sz w:val="22"/>
          <w:szCs w:val="22"/>
        </w:rPr>
        <w:t xml:space="preserve"> mismo al ser un organismo público, que parte de sus recursos mensuales los destina a pagar cuotas a dicho sindicato, tiene la obligación de tener el padrón de trabajadores de su institución que pertenecen al mismo, ya que desde el ingreso de Profesores de Asignatura los filian automáticamente a dicho sindicato, generando el alta en Recursos Humanos…”. </w:t>
      </w:r>
    </w:p>
    <w:p w:rsidR="00AB0D75" w:rsidRPr="00B96DFD" w:rsidRDefault="00AB0D75" w:rsidP="000A0AEC">
      <w:pPr>
        <w:spacing w:after="240" w:line="240" w:lineRule="auto"/>
        <w:ind w:left="709" w:firstLine="709"/>
        <w:rPr>
          <w:rFonts w:ascii="Arial" w:hAnsi="Arial" w:cs="Arial"/>
          <w:i/>
          <w:color w:val="365F91" w:themeColor="accent1" w:themeShade="BF"/>
          <w:sz w:val="22"/>
          <w:szCs w:val="22"/>
        </w:rPr>
      </w:pPr>
    </w:p>
    <w:p w:rsidR="000A0AEC" w:rsidRPr="00B96DFD" w:rsidRDefault="000A0AEC" w:rsidP="000A0AEC">
      <w:pPr>
        <w:spacing w:after="240"/>
        <w:ind w:firstLine="709"/>
        <w:rPr>
          <w:rFonts w:ascii="Arial" w:hAnsi="Arial" w:cs="Arial"/>
          <w:color w:val="365F91" w:themeColor="accent1" w:themeShade="BF"/>
          <w:szCs w:val="26"/>
        </w:rPr>
      </w:pPr>
      <w:r w:rsidRPr="00B96DFD">
        <w:rPr>
          <w:rFonts w:ascii="Arial" w:hAnsi="Arial" w:cs="Arial"/>
          <w:b/>
          <w:color w:val="365F91" w:themeColor="accent1" w:themeShade="BF"/>
          <w:szCs w:val="26"/>
        </w:rPr>
        <w:t>CUARTO. Turno.</w:t>
      </w:r>
      <w:r w:rsidRPr="00B96DFD">
        <w:rPr>
          <w:rFonts w:ascii="Arial" w:hAnsi="Arial" w:cs="Arial"/>
          <w:color w:val="365F91" w:themeColor="accent1" w:themeShade="BF"/>
          <w:szCs w:val="26"/>
        </w:rPr>
        <w:t xml:space="preserve"> De conformidad con el artículo 174, fracción I de la Ley de Transparencia y Acceso a la Información Pública del Estad</w:t>
      </w:r>
      <w:r w:rsidR="005520FD" w:rsidRPr="00B96DFD">
        <w:rPr>
          <w:rFonts w:ascii="Arial" w:hAnsi="Arial" w:cs="Arial"/>
          <w:color w:val="365F91" w:themeColor="accent1" w:themeShade="BF"/>
          <w:szCs w:val="26"/>
        </w:rPr>
        <w:t>o, el recurso de revisión RR-015/2018</w:t>
      </w:r>
      <w:r w:rsidRPr="00B96DFD">
        <w:rPr>
          <w:rFonts w:ascii="Arial" w:hAnsi="Arial" w:cs="Arial"/>
          <w:color w:val="365F91" w:themeColor="accent1" w:themeShade="BF"/>
          <w:szCs w:val="26"/>
        </w:rPr>
        <w:t>-3 fue turnado al Comisionada Ponente, para que sustanciara el periodo de instrucción, y en su momento presentara al Pleno el proyecto de resolución correspondiente.</w:t>
      </w:r>
    </w:p>
    <w:p w:rsidR="000A0AEC" w:rsidRPr="00B96DFD" w:rsidRDefault="000A0AEC" w:rsidP="000A0AEC">
      <w:pPr>
        <w:spacing w:after="240"/>
        <w:rPr>
          <w:rFonts w:ascii="Arial" w:hAnsi="Arial" w:cs="Arial"/>
          <w:color w:val="365F91" w:themeColor="accent1" w:themeShade="BF"/>
        </w:rPr>
      </w:pPr>
      <w:r w:rsidRPr="00B96DFD">
        <w:rPr>
          <w:rFonts w:ascii="Arial" w:hAnsi="Arial" w:cs="Arial"/>
          <w:b/>
          <w:color w:val="365F91" w:themeColor="accent1" w:themeShade="BF"/>
        </w:rPr>
        <w:tab/>
        <w:t xml:space="preserve">QUINTO. Admisión. </w:t>
      </w:r>
      <w:r w:rsidRPr="00B96DFD">
        <w:rPr>
          <w:rFonts w:ascii="Arial" w:hAnsi="Arial" w:cs="Arial"/>
          <w:color w:val="365F91" w:themeColor="accent1" w:themeShade="BF"/>
        </w:rPr>
        <w:t xml:space="preserve">El diecisiete de </w:t>
      </w:r>
      <w:r w:rsidR="005520FD" w:rsidRPr="00B96DFD">
        <w:rPr>
          <w:rFonts w:ascii="Arial" w:hAnsi="Arial" w:cs="Arial"/>
          <w:color w:val="365F91" w:themeColor="accent1" w:themeShade="BF"/>
        </w:rPr>
        <w:t>enero de dos mil dieciocho</w:t>
      </w:r>
      <w:r w:rsidRPr="00B96DFD">
        <w:rPr>
          <w:rFonts w:ascii="Arial" w:hAnsi="Arial" w:cs="Arial"/>
          <w:color w:val="365F91" w:themeColor="accent1" w:themeShade="BF"/>
        </w:rPr>
        <w:t xml:space="preserve">, esta Comisión, de conformidad con el artículo 174, fracción II,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0A0AEC" w:rsidRPr="00B96DFD" w:rsidRDefault="000A0AEC" w:rsidP="00D728E1">
      <w:pPr>
        <w:spacing w:after="240"/>
        <w:rPr>
          <w:rFonts w:ascii="Arial" w:hAnsi="Arial" w:cs="Arial"/>
          <w:color w:val="365F91" w:themeColor="accent1" w:themeShade="BF"/>
        </w:rPr>
      </w:pPr>
      <w:r w:rsidRPr="00B96DFD">
        <w:rPr>
          <w:rFonts w:ascii="Arial" w:hAnsi="Arial" w:cs="Arial"/>
          <w:b/>
          <w:color w:val="365F91" w:themeColor="accent1" w:themeShade="BF"/>
        </w:rPr>
        <w:tab/>
        <w:t xml:space="preserve">SEXTO. Manifestaciones de las partes. </w:t>
      </w:r>
      <w:r w:rsidRPr="00B96DFD">
        <w:rPr>
          <w:rFonts w:ascii="Arial" w:hAnsi="Arial" w:cs="Arial"/>
          <w:color w:val="365F91" w:themeColor="accent1" w:themeShade="BF"/>
        </w:rPr>
        <w:t xml:space="preserve">Mediante el acuerdo dictado el </w:t>
      </w:r>
      <w:r w:rsidR="00D728E1" w:rsidRPr="00B96DFD">
        <w:rPr>
          <w:rFonts w:ascii="Arial" w:hAnsi="Arial" w:cs="Arial"/>
          <w:color w:val="365F91" w:themeColor="accent1" w:themeShade="BF"/>
        </w:rPr>
        <w:t>dos de febrero de dos mil dieciocho</w:t>
      </w:r>
      <w:r w:rsidRPr="00B96DFD">
        <w:rPr>
          <w:rFonts w:ascii="Arial" w:hAnsi="Arial" w:cs="Arial"/>
          <w:color w:val="365F91" w:themeColor="accent1" w:themeShade="BF"/>
        </w:rPr>
        <w:t xml:space="preserve">, se tuvo por recibido el oficio </w:t>
      </w:r>
      <w:r w:rsidR="00D728E1" w:rsidRPr="00B96DFD">
        <w:rPr>
          <w:rFonts w:ascii="Arial" w:hAnsi="Arial" w:cs="Arial"/>
          <w:color w:val="365F91" w:themeColor="accent1" w:themeShade="BF"/>
        </w:rPr>
        <w:t>UTSLP 023/2018</w:t>
      </w:r>
      <w:r w:rsidRPr="00B96DFD">
        <w:rPr>
          <w:rFonts w:ascii="Arial" w:hAnsi="Arial" w:cs="Arial"/>
          <w:color w:val="365F91" w:themeColor="accent1" w:themeShade="BF"/>
        </w:rPr>
        <w:t xml:space="preserve">, signado por la </w:t>
      </w:r>
      <w:r w:rsidR="00D728E1" w:rsidRPr="00B96DFD">
        <w:rPr>
          <w:rFonts w:ascii="Arial" w:hAnsi="Arial" w:cs="Arial"/>
          <w:color w:val="365F91" w:themeColor="accent1" w:themeShade="BF"/>
        </w:rPr>
        <w:t>Encargada de la Unidad de Transparencia de la UTSLP.</w:t>
      </w:r>
    </w:p>
    <w:p w:rsidR="000A0AEC" w:rsidRPr="00B96DFD" w:rsidRDefault="000A0AEC" w:rsidP="00D728E1">
      <w:pPr>
        <w:spacing w:after="240"/>
        <w:ind w:firstLine="708"/>
        <w:rPr>
          <w:rFonts w:ascii="Arial" w:hAnsi="Arial" w:cs="Arial"/>
          <w:color w:val="365F91" w:themeColor="accent1" w:themeShade="BF"/>
        </w:rPr>
      </w:pPr>
      <w:r w:rsidRPr="00B96DFD">
        <w:rPr>
          <w:rFonts w:ascii="Arial" w:hAnsi="Arial" w:cs="Arial"/>
          <w:color w:val="365F91" w:themeColor="accent1" w:themeShade="BF"/>
        </w:rPr>
        <w:t xml:space="preserve">Por lo que se refiere al recurrente, </w:t>
      </w:r>
      <w:r w:rsidR="002140ED" w:rsidRPr="00B96DFD">
        <w:rPr>
          <w:rFonts w:ascii="Arial" w:hAnsi="Arial" w:cs="Arial"/>
          <w:color w:val="365F91" w:themeColor="accent1" w:themeShade="BF"/>
        </w:rPr>
        <w:t xml:space="preserve">este hizo </w:t>
      </w:r>
      <w:r w:rsidRPr="00B96DFD">
        <w:rPr>
          <w:rFonts w:ascii="Arial" w:hAnsi="Arial" w:cs="Arial"/>
          <w:color w:val="365F91" w:themeColor="accent1" w:themeShade="BF"/>
        </w:rPr>
        <w:t>uso del derecho que le es reconocido por el artículo 174, fracción II, de la Ley de Transparencia y Acceso a la</w:t>
      </w:r>
      <w:r w:rsidR="002140ED" w:rsidRPr="00B96DFD">
        <w:rPr>
          <w:rFonts w:ascii="Arial" w:hAnsi="Arial" w:cs="Arial"/>
          <w:color w:val="365F91" w:themeColor="accent1" w:themeShade="BF"/>
        </w:rPr>
        <w:t xml:space="preserve"> Información Pública del Estado</w:t>
      </w:r>
      <w:r w:rsidR="00354C24" w:rsidRPr="00B96DFD">
        <w:rPr>
          <w:rFonts w:ascii="Arial" w:hAnsi="Arial" w:cs="Arial"/>
          <w:color w:val="365F91" w:themeColor="accent1" w:themeShade="BF"/>
        </w:rPr>
        <w:t xml:space="preserve">, a través del correo electrónico enviado por el recurrente, de veintidós de enero del año en curso. </w:t>
      </w:r>
    </w:p>
    <w:p w:rsidR="000A0AEC" w:rsidRPr="00B96DFD" w:rsidRDefault="000A0AEC" w:rsidP="000A0AEC">
      <w:pPr>
        <w:spacing w:after="240"/>
        <w:rPr>
          <w:rFonts w:ascii="Arial" w:hAnsi="Arial" w:cs="Arial"/>
          <w:b/>
          <w:color w:val="365F91" w:themeColor="accent1" w:themeShade="BF"/>
        </w:rPr>
      </w:pPr>
      <w:r w:rsidRPr="00B96DFD">
        <w:rPr>
          <w:rFonts w:ascii="Arial" w:hAnsi="Arial" w:cs="Arial"/>
          <w:color w:val="365F91" w:themeColor="accent1" w:themeShade="BF"/>
        </w:rPr>
        <w:lastRenderedPageBreak/>
        <w:tab/>
      </w:r>
      <w:r w:rsidRPr="00B96DFD">
        <w:rPr>
          <w:rFonts w:ascii="Arial" w:hAnsi="Arial" w:cs="Arial"/>
          <w:b/>
          <w:color w:val="365F91" w:themeColor="accent1" w:themeShade="BF"/>
        </w:rPr>
        <w:t xml:space="preserve">SÉPTIMO. Cierre de Instrucción. </w:t>
      </w:r>
      <w:r w:rsidRPr="00B96DFD">
        <w:rPr>
          <w:rFonts w:ascii="Arial" w:hAnsi="Arial" w:cs="Arial"/>
          <w:color w:val="365F91" w:themeColor="accent1" w:themeShade="BF"/>
        </w:rPr>
        <w:t xml:space="preserve">El </w:t>
      </w:r>
      <w:r w:rsidR="00354C24" w:rsidRPr="00B96DFD">
        <w:rPr>
          <w:rFonts w:ascii="Arial" w:hAnsi="Arial" w:cs="Arial"/>
          <w:color w:val="365F91" w:themeColor="accent1" w:themeShade="BF"/>
        </w:rPr>
        <w:t>dos de febrero de dos mil dieciocho</w:t>
      </w:r>
      <w:r w:rsidRPr="00B96DFD">
        <w:rPr>
          <w:rFonts w:ascii="Arial" w:hAnsi="Arial" w:cs="Arial"/>
          <w:color w:val="365F91" w:themeColor="accent1" w:themeShade="BF"/>
        </w:rPr>
        <w:t>, se decretó el Cierre de Instrucción del expediente formado con motivo del presente recurso de revisión, a fin de que la ponente presentara el proyecto de resolución correspondiente.</w:t>
      </w:r>
      <w:r w:rsidRPr="00B96DFD">
        <w:rPr>
          <w:rFonts w:ascii="Arial" w:hAnsi="Arial" w:cs="Arial"/>
          <w:b/>
          <w:color w:val="365F91" w:themeColor="accent1" w:themeShade="BF"/>
        </w:rPr>
        <w:t xml:space="preserve"> </w:t>
      </w:r>
    </w:p>
    <w:p w:rsidR="000A0AEC" w:rsidRPr="00B96DFD" w:rsidRDefault="000A0AEC" w:rsidP="000A0AEC">
      <w:pPr>
        <w:jc w:val="center"/>
        <w:outlineLvl w:val="0"/>
        <w:rPr>
          <w:rFonts w:ascii="Arial" w:hAnsi="Arial" w:cs="Arial"/>
          <w:b/>
          <w:color w:val="365F91" w:themeColor="accent1" w:themeShade="BF"/>
        </w:rPr>
      </w:pPr>
      <w:r w:rsidRPr="00B96DFD">
        <w:rPr>
          <w:rFonts w:ascii="Arial" w:hAnsi="Arial" w:cs="Arial"/>
          <w:b/>
          <w:color w:val="365F91" w:themeColor="accent1" w:themeShade="BF"/>
        </w:rPr>
        <w:t xml:space="preserve">C O N S I D E R A N D O </w:t>
      </w:r>
    </w:p>
    <w:p w:rsidR="000A0AEC" w:rsidRPr="00B96DFD" w:rsidRDefault="000A0AEC" w:rsidP="000A0AEC">
      <w:pPr>
        <w:pStyle w:val="Textoindependienteprimerasangra"/>
        <w:ind w:firstLine="900"/>
        <w:rPr>
          <w:rFonts w:ascii="Arial" w:eastAsia="Arial Unicode MS" w:hAnsi="Arial" w:cs="Arial"/>
          <w:color w:val="365F91" w:themeColor="accent1" w:themeShade="BF"/>
          <w:szCs w:val="26"/>
        </w:rPr>
      </w:pPr>
      <w:r w:rsidRPr="00B96DFD">
        <w:rPr>
          <w:rFonts w:ascii="Arial" w:eastAsia="Arial Unicode MS" w:hAnsi="Arial" w:cs="Arial"/>
          <w:b/>
          <w:color w:val="365F91" w:themeColor="accent1" w:themeShade="BF"/>
          <w:szCs w:val="26"/>
        </w:rPr>
        <w:t>PRIMERO. Competencia.</w:t>
      </w:r>
      <w:r w:rsidRPr="00B96DFD">
        <w:rPr>
          <w:rFonts w:ascii="Arial" w:eastAsia="Arial Unicode MS" w:hAnsi="Arial" w:cs="Arial"/>
          <w:color w:val="365F91" w:themeColor="accent1" w:themeShade="BF"/>
          <w:szCs w:val="26"/>
        </w:rPr>
        <w:t xml:space="preserve"> El Pleno de esta Comisión Estatal de Garantía de Acceso a la Información Pública es competente para resolver el presente recurso de revisión de conformidad con los artículos 6°, apartado A.,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 del Estado de San Luis Potosí, así como de los artículos 1°, 2°, 9°, 12, fracciones XI y XXV, del Reglamento Interior de la Comisión Estatal de Garantía de Acceso a la Información Pública.</w:t>
      </w:r>
    </w:p>
    <w:p w:rsidR="000A0AEC" w:rsidRPr="00B96DFD" w:rsidRDefault="000A0AEC" w:rsidP="000A0AEC">
      <w:pPr>
        <w:pStyle w:val="Textoindependienteprimerasangra"/>
        <w:spacing w:before="240"/>
        <w:ind w:firstLine="900"/>
        <w:rPr>
          <w:rFonts w:ascii="Arial" w:eastAsia="Arial Unicode MS" w:hAnsi="Arial" w:cs="Arial"/>
          <w:color w:val="365F91" w:themeColor="accent1" w:themeShade="BF"/>
        </w:rPr>
      </w:pPr>
      <w:r w:rsidRPr="00B96DFD">
        <w:rPr>
          <w:rFonts w:ascii="Arial" w:eastAsia="Arial Unicode MS" w:hAnsi="Arial" w:cs="Arial"/>
          <w:b/>
          <w:color w:val="365F91" w:themeColor="accent1" w:themeShade="BF"/>
        </w:rPr>
        <w:t xml:space="preserve">SEGUNDO. </w:t>
      </w:r>
      <w:proofErr w:type="spellStart"/>
      <w:r w:rsidRPr="00B96DFD">
        <w:rPr>
          <w:rFonts w:ascii="Arial" w:eastAsia="Arial Unicode MS" w:hAnsi="Arial" w:cs="Arial"/>
          <w:b/>
          <w:color w:val="365F91" w:themeColor="accent1" w:themeShade="BF"/>
        </w:rPr>
        <w:t>Procedibilidad</w:t>
      </w:r>
      <w:proofErr w:type="spellEnd"/>
      <w:r w:rsidRPr="00B96DFD">
        <w:rPr>
          <w:rFonts w:ascii="Arial" w:eastAsia="Arial Unicode MS" w:hAnsi="Arial" w:cs="Arial"/>
          <w:b/>
          <w:color w:val="365F91" w:themeColor="accent1" w:themeShade="BF"/>
        </w:rPr>
        <w:t xml:space="preserve"> y Oportunidad.</w:t>
      </w:r>
      <w:r w:rsidRPr="00B96DFD">
        <w:rPr>
          <w:rFonts w:ascii="Arial" w:eastAsia="Arial Unicode MS" w:hAnsi="Arial" w:cs="Arial"/>
          <w:color w:val="365F91" w:themeColor="accent1" w:themeShade="BF"/>
        </w:rPr>
        <w:t xml:space="preserve"> Previo al estudio de fondo del asunto, se procede a analizar los requisitos de oportunidad y </w:t>
      </w:r>
      <w:proofErr w:type="spellStart"/>
      <w:r w:rsidRPr="00B96DFD">
        <w:rPr>
          <w:rFonts w:ascii="Arial" w:eastAsia="Arial Unicode MS" w:hAnsi="Arial" w:cs="Arial"/>
          <w:color w:val="365F91" w:themeColor="accent1" w:themeShade="BF"/>
        </w:rPr>
        <w:t>procedibilidad</w:t>
      </w:r>
      <w:proofErr w:type="spellEnd"/>
      <w:r w:rsidRPr="00B96DFD">
        <w:rPr>
          <w:rFonts w:ascii="Arial" w:eastAsia="Arial Unicode MS" w:hAnsi="Arial" w:cs="Arial"/>
          <w:color w:val="365F91" w:themeColor="accent1" w:themeShade="BF"/>
        </w:rPr>
        <w:t xml:space="preserve"> que debe reunir el presente medio de impugnación, los cuales están previstos en los artículos 166 y 168 de la Ley de Transparencia y Acceso a la Información Pública del Estado de San Luis Potosí.</w:t>
      </w:r>
    </w:p>
    <w:p w:rsidR="000A0AEC" w:rsidRPr="00B96DFD" w:rsidRDefault="000A0AEC" w:rsidP="00086406">
      <w:pPr>
        <w:pStyle w:val="Textoindependienteprimerasangra"/>
        <w:spacing w:before="240"/>
        <w:ind w:firstLine="900"/>
        <w:rPr>
          <w:rFonts w:ascii="Arial" w:eastAsia="Arial Unicode MS" w:hAnsi="Arial" w:cs="Arial"/>
          <w:color w:val="365F91" w:themeColor="accent1" w:themeShade="BF"/>
        </w:rPr>
      </w:pPr>
      <w:r w:rsidRPr="00B96DFD">
        <w:rPr>
          <w:rFonts w:ascii="Arial" w:eastAsia="Arial Unicode MS" w:hAnsi="Arial" w:cs="Arial"/>
          <w:color w:val="365F91" w:themeColor="accent1" w:themeShade="BF"/>
        </w:rPr>
        <w:t xml:space="preserve">El recurso de revisión fue interpuesto dentro del plazo de quince días hábiles previsto en el artículo 166 de la Ley de Transparencia del Estado, toda vez que el sujeto obligado notificó su respuesta el </w:t>
      </w:r>
      <w:r w:rsidR="00354C24" w:rsidRPr="00B96DFD">
        <w:rPr>
          <w:rFonts w:ascii="Arial" w:eastAsia="Arial Unicode MS" w:hAnsi="Arial" w:cs="Arial"/>
          <w:b/>
          <w:color w:val="365F91" w:themeColor="accent1" w:themeShade="BF"/>
        </w:rPr>
        <w:t>tres de enero de dos mil dieciocho</w:t>
      </w:r>
      <w:r w:rsidRPr="00B96DFD">
        <w:rPr>
          <w:rFonts w:ascii="Arial" w:hAnsi="Arial" w:cs="Arial"/>
          <w:color w:val="365F91" w:themeColor="accent1" w:themeShade="BF"/>
          <w:lang w:val="es-MX"/>
        </w:rPr>
        <w:t xml:space="preserve">; resulta entonces que al ser interpuesto el presente medio de defensa </w:t>
      </w:r>
      <w:r w:rsidR="00086406" w:rsidRPr="00B96DFD">
        <w:rPr>
          <w:rFonts w:ascii="Arial" w:hAnsi="Arial" w:cs="Arial"/>
          <w:color w:val="365F91" w:themeColor="accent1" w:themeShade="BF"/>
          <w:lang w:val="es-MX"/>
        </w:rPr>
        <w:t xml:space="preserve">en </w:t>
      </w:r>
      <w:r w:rsidR="00086406" w:rsidRPr="00B96DFD">
        <w:rPr>
          <w:rFonts w:ascii="Arial" w:hAnsi="Arial" w:cs="Arial"/>
          <w:b/>
          <w:color w:val="365F91" w:themeColor="accent1" w:themeShade="BF"/>
          <w:lang w:val="es-MX"/>
        </w:rPr>
        <w:t xml:space="preserve">ocho del mismo mes y año, </w:t>
      </w:r>
      <w:r w:rsidRPr="00B96DFD">
        <w:rPr>
          <w:rFonts w:ascii="Arial" w:hAnsi="Arial" w:cs="Arial"/>
          <w:color w:val="365F91" w:themeColor="accent1" w:themeShade="BF"/>
          <w:lang w:val="es-MX"/>
        </w:rPr>
        <w:t xml:space="preserve">se </w:t>
      </w:r>
      <w:r w:rsidR="00086406" w:rsidRPr="00B96DFD">
        <w:rPr>
          <w:rFonts w:ascii="Arial" w:hAnsi="Arial" w:cs="Arial"/>
          <w:color w:val="365F91" w:themeColor="accent1" w:themeShade="BF"/>
          <w:lang w:val="es-MX"/>
        </w:rPr>
        <w:t xml:space="preserve">evidencia que se presentó el tercer día hábil de los quince días que establece el numeral 166 de la Ley de Transparencia y Acceso a la Información Pública, por lo tanto </w:t>
      </w:r>
      <w:r w:rsidRPr="00B96DFD">
        <w:rPr>
          <w:rFonts w:ascii="Arial" w:hAnsi="Arial" w:cs="Arial"/>
          <w:color w:val="365F91" w:themeColor="accent1" w:themeShade="BF"/>
          <w:lang w:val="es-MX"/>
        </w:rPr>
        <w:t>se concluye que se encuentra dentro de los márgenes temporales previstos en el citado precepto legal.</w:t>
      </w:r>
    </w:p>
    <w:p w:rsidR="000A0AEC" w:rsidRPr="00B96DFD" w:rsidRDefault="000A0AEC" w:rsidP="000A0AEC">
      <w:pPr>
        <w:pStyle w:val="Textoindependienteprimerasangra"/>
        <w:spacing w:before="240"/>
        <w:ind w:firstLine="900"/>
        <w:rPr>
          <w:rFonts w:ascii="Arial" w:hAnsi="Arial" w:cs="Arial"/>
          <w:color w:val="365F91" w:themeColor="accent1" w:themeShade="BF"/>
          <w:lang w:val="es-MX"/>
        </w:rPr>
      </w:pPr>
      <w:r w:rsidRPr="00B96DFD">
        <w:rPr>
          <w:rFonts w:ascii="Arial" w:hAnsi="Arial" w:cs="Arial"/>
          <w:color w:val="365F91" w:themeColor="accent1" w:themeShade="BF"/>
          <w:lang w:val="es-MX"/>
        </w:rPr>
        <w:lastRenderedPageBreak/>
        <w:t>Asimismo, tras la revisión del escrito de interposición, se concluye que se acreditan de manera satisfactoria los extremos a que alude el artículo 168 de la Ley de Transparencia y Acceso a la Información Pública del Estado de San Luis Potosí.</w:t>
      </w:r>
    </w:p>
    <w:p w:rsidR="00AE0736" w:rsidRPr="00B96DFD" w:rsidRDefault="000A0AEC" w:rsidP="00AE0736">
      <w:pPr>
        <w:pStyle w:val="Textoindependienteprimerasangra"/>
        <w:spacing w:before="240"/>
        <w:ind w:firstLine="900"/>
        <w:rPr>
          <w:rFonts w:ascii="Arial" w:hAnsi="Arial" w:cs="Arial"/>
          <w:color w:val="365F91" w:themeColor="accent1" w:themeShade="BF"/>
          <w:lang w:val="es-MX"/>
        </w:rPr>
      </w:pPr>
      <w:r w:rsidRPr="00B96DFD">
        <w:rPr>
          <w:rFonts w:ascii="Arial" w:hAnsi="Arial" w:cs="Arial"/>
          <w:b/>
          <w:color w:val="365F91" w:themeColor="accent1" w:themeShade="BF"/>
          <w:lang w:val="es-MX"/>
        </w:rPr>
        <w:t>TERCERO. Estudio y resolución del asunto.</w:t>
      </w:r>
      <w:r w:rsidRPr="00B96DFD">
        <w:rPr>
          <w:rFonts w:ascii="Arial" w:hAnsi="Arial" w:cs="Arial"/>
          <w:color w:val="365F91" w:themeColor="accent1" w:themeShade="BF"/>
          <w:lang w:val="es-MX"/>
        </w:rPr>
        <w:t xml:space="preserve"> En esencia, la inconformidad en estudio encuadra en el supuesto a que alude el artículo 167, fracción I</w:t>
      </w:r>
      <w:r w:rsidR="00086406" w:rsidRPr="00B96DFD">
        <w:rPr>
          <w:rFonts w:ascii="Arial" w:hAnsi="Arial" w:cs="Arial"/>
          <w:color w:val="365F91" w:themeColor="accent1" w:themeShade="BF"/>
          <w:lang w:val="es-MX"/>
        </w:rPr>
        <w:t>I</w:t>
      </w:r>
      <w:r w:rsidRPr="00B96DFD">
        <w:rPr>
          <w:rFonts w:ascii="Arial" w:hAnsi="Arial" w:cs="Arial"/>
          <w:color w:val="365F91" w:themeColor="accent1" w:themeShade="BF"/>
          <w:lang w:val="es-MX"/>
        </w:rPr>
        <w:t xml:space="preserve">, de la Ley de Transparencia y Acceso a la Información Pública del Estado, en virtud de que el inconforme se duele de la </w:t>
      </w:r>
      <w:r w:rsidR="00086406" w:rsidRPr="00B96DFD">
        <w:rPr>
          <w:rFonts w:ascii="Arial" w:hAnsi="Arial" w:cs="Arial"/>
          <w:color w:val="365F91" w:themeColor="accent1" w:themeShade="BF"/>
          <w:lang w:val="es-MX"/>
        </w:rPr>
        <w:t xml:space="preserve">inexistencia </w:t>
      </w:r>
      <w:r w:rsidRPr="00B96DFD">
        <w:rPr>
          <w:rFonts w:ascii="Arial" w:hAnsi="Arial" w:cs="Arial"/>
          <w:color w:val="365F91" w:themeColor="accent1" w:themeShade="BF"/>
          <w:lang w:val="es-MX"/>
        </w:rPr>
        <w:t>de la información</w:t>
      </w:r>
      <w:r w:rsidR="00086406" w:rsidRPr="00B96DFD">
        <w:rPr>
          <w:rFonts w:ascii="Arial" w:hAnsi="Arial" w:cs="Arial"/>
          <w:color w:val="365F91" w:themeColor="accent1" w:themeShade="BF"/>
          <w:lang w:val="es-MX"/>
        </w:rPr>
        <w:t>.</w:t>
      </w:r>
    </w:p>
    <w:p w:rsidR="00AE0736" w:rsidRPr="00B96DFD" w:rsidRDefault="00AE0736" w:rsidP="00AE0736">
      <w:pPr>
        <w:pStyle w:val="Textoindependienteprimerasangra"/>
        <w:spacing w:before="240"/>
        <w:ind w:firstLine="900"/>
        <w:rPr>
          <w:rFonts w:ascii="Arial" w:hAnsi="Arial" w:cs="Arial"/>
          <w:color w:val="365F91" w:themeColor="accent1" w:themeShade="BF"/>
          <w:lang w:val="es-MX"/>
        </w:rPr>
      </w:pPr>
      <w:r w:rsidRPr="00B96DFD">
        <w:rPr>
          <w:rFonts w:ascii="Arial" w:hAnsi="Arial" w:cs="Arial"/>
          <w:color w:val="365F91" w:themeColor="accent1" w:themeShade="BF"/>
          <w:szCs w:val="26"/>
          <w:lang w:val="es-ES_tradnl"/>
        </w:rPr>
        <w:t>Los motivos de inconformidad resultan parcialmente fundados, en suplencia de la queja, de conformidad con lo dispuesto en el artículo 14 de la Ley de Transparencia del Estado.</w:t>
      </w:r>
    </w:p>
    <w:p w:rsidR="00AE0736" w:rsidRPr="00B96DFD" w:rsidRDefault="00AE0736" w:rsidP="00AE0736">
      <w:pPr>
        <w:ind w:firstLine="708"/>
        <w:rPr>
          <w:rFonts w:ascii="Arial" w:hAnsi="Arial" w:cs="Arial"/>
          <w:color w:val="365F91" w:themeColor="accent1" w:themeShade="BF"/>
          <w:lang w:val="es-MX"/>
        </w:rPr>
      </w:pPr>
      <w:r w:rsidRPr="00B96DFD">
        <w:rPr>
          <w:rFonts w:ascii="Arial" w:hAnsi="Arial" w:cs="Arial"/>
          <w:color w:val="365F91" w:themeColor="accent1" w:themeShade="BF"/>
          <w:lang w:val="es-MX"/>
        </w:rPr>
        <w:t>Con la finalidad de resolver de manera efectiva los motivos de queja planteados por el recurrente, se procede a examinarlos en un orden distinto al propuesto por el recurrente, sin cambiar los hechos que dieron origen a la interposición del presente recurso; sirve de apoyo a lo anterior -por analogía- la tesis de jurisprudencia (IV Región)</w:t>
      </w:r>
      <w:r w:rsidR="007B477F" w:rsidRPr="00B96DFD">
        <w:rPr>
          <w:rFonts w:ascii="Arial" w:hAnsi="Arial" w:cs="Arial"/>
          <w:color w:val="365F91" w:themeColor="accent1" w:themeShade="BF"/>
          <w:lang w:val="es-MX"/>
        </w:rPr>
        <w:t xml:space="preserve"> </w:t>
      </w:r>
      <w:r w:rsidRPr="00B96DFD">
        <w:rPr>
          <w:rFonts w:ascii="Arial" w:hAnsi="Arial" w:cs="Arial"/>
          <w:color w:val="365F91" w:themeColor="accent1" w:themeShade="BF"/>
          <w:lang w:val="es-MX"/>
        </w:rPr>
        <w:t>2o. J/5 (10a.)</w:t>
      </w:r>
      <w:r w:rsidRPr="00B96DFD">
        <w:rPr>
          <w:rFonts w:ascii="Arial" w:hAnsi="Arial" w:cs="Arial"/>
          <w:color w:val="365F91" w:themeColor="accent1" w:themeShade="BF"/>
        </w:rPr>
        <w:t xml:space="preserve">, emitida por el Segundo Tribunal Colegiado de Circuito del Centro Auxiliar de la Cuarta Región, que señala: </w:t>
      </w:r>
    </w:p>
    <w:p w:rsidR="00AE0736" w:rsidRPr="00B96DFD" w:rsidRDefault="00AE0736" w:rsidP="00AE0736">
      <w:pPr>
        <w:spacing w:line="240" w:lineRule="auto"/>
        <w:ind w:firstLine="708"/>
        <w:rPr>
          <w:rFonts w:ascii="Arial" w:hAnsi="Arial" w:cs="Arial"/>
          <w:i/>
          <w:color w:val="365F91" w:themeColor="accent1" w:themeShade="BF"/>
          <w:sz w:val="22"/>
          <w:szCs w:val="22"/>
          <w:lang w:val="es-MX"/>
        </w:rPr>
      </w:pPr>
      <w:r w:rsidRPr="00B96DFD">
        <w:rPr>
          <w:rFonts w:ascii="Arial" w:hAnsi="Arial" w:cs="Arial"/>
          <w:b/>
          <w:i/>
          <w:color w:val="365F91" w:themeColor="accent1" w:themeShade="BF"/>
          <w:sz w:val="22"/>
          <w:szCs w:val="22"/>
          <w:lang w:val="es-MX"/>
        </w:rPr>
        <w:t xml:space="preserve">“CONCEPTOS DE VIOLACIÓN O AGRAVIOS. PROCEDE SU ANÁLISIS DE MANERA INDIVIDUAL, CONJUNTA O POR GRUPOS Y EN EL ORDEN PROPUESTO O EN UNO DIVERSO. </w:t>
      </w:r>
      <w:r w:rsidRPr="00B96DFD">
        <w:rPr>
          <w:rFonts w:ascii="Arial" w:hAnsi="Arial" w:cs="Arial"/>
          <w:i/>
          <w:color w:val="365F91" w:themeColor="accent1" w:themeShade="BF"/>
          <w:sz w:val="22"/>
          <w:szCs w:val="22"/>
          <w:lang w:val="es-MX"/>
        </w:rPr>
        <w:t>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rsidR="00FE1E70" w:rsidRPr="00B96DFD" w:rsidRDefault="00FE1E70" w:rsidP="00FE1E70">
      <w:pPr>
        <w:pStyle w:val="Textoindependienteprimerasangra"/>
        <w:spacing w:before="240"/>
        <w:ind w:firstLine="900"/>
        <w:rPr>
          <w:rFonts w:ascii="Arial" w:hAnsi="Arial" w:cs="Arial"/>
          <w:color w:val="365F91" w:themeColor="accent1" w:themeShade="BF"/>
        </w:rPr>
      </w:pPr>
      <w:r w:rsidRPr="00B96DFD">
        <w:rPr>
          <w:rFonts w:ascii="Arial" w:hAnsi="Arial" w:cs="Arial"/>
          <w:color w:val="365F91" w:themeColor="accent1" w:themeShade="BF"/>
          <w:szCs w:val="26"/>
        </w:rPr>
        <w:t xml:space="preserve">Con base en lo anterior, es de señalarse que esta Comisión está facultada de manera implícita para integrar el contenido de los documentos y elementos técnicos que conforman el medio de impugnación del que se trata. Tal aseveración se justifica, ya que el Órgano </w:t>
      </w:r>
      <w:proofErr w:type="spellStart"/>
      <w:r w:rsidRPr="00B96DFD">
        <w:rPr>
          <w:rFonts w:ascii="Arial" w:hAnsi="Arial" w:cs="Arial"/>
          <w:color w:val="365F91" w:themeColor="accent1" w:themeShade="BF"/>
          <w:szCs w:val="26"/>
        </w:rPr>
        <w:t>Resolutor</w:t>
      </w:r>
      <w:proofErr w:type="spellEnd"/>
      <w:r w:rsidRPr="00B96DFD">
        <w:rPr>
          <w:rFonts w:ascii="Arial" w:hAnsi="Arial" w:cs="Arial"/>
          <w:color w:val="365F91" w:themeColor="accent1" w:themeShade="BF"/>
          <w:szCs w:val="26"/>
        </w:rPr>
        <w:t xml:space="preserve">, con base en el artículo 8°, fracciones, II y VIII, de la Ley de Transparencia del Estado, </w:t>
      </w:r>
      <w:r w:rsidRPr="00B96DFD">
        <w:rPr>
          <w:rFonts w:ascii="Arial" w:hAnsi="Arial" w:cs="Arial"/>
          <w:color w:val="365F91" w:themeColor="accent1" w:themeShade="BF"/>
          <w:szCs w:val="26"/>
        </w:rPr>
        <w:lastRenderedPageBreak/>
        <w:t xml:space="preserve">cuenta </w:t>
      </w:r>
      <w:r w:rsidRPr="00B96DFD">
        <w:rPr>
          <w:rFonts w:ascii="Arial" w:hAnsi="Arial" w:cs="Arial"/>
          <w:color w:val="365F91" w:themeColor="accent1" w:themeShade="BF"/>
        </w:rPr>
        <w:t xml:space="preserve">con la experiencia y conocimientos suficientes para interpretar la redacción oscura o irregular, y determinar el verdadero sentido y la expresión exacta del pensamiento de su autor que por error incurre en omisiones o en imprecisiones contenidas en la respuesta que por este medio se impugna. </w:t>
      </w:r>
    </w:p>
    <w:p w:rsidR="00FE1E70" w:rsidRPr="00B96DFD" w:rsidRDefault="00FE1E70" w:rsidP="00FE1E70">
      <w:pPr>
        <w:ind w:firstLine="708"/>
        <w:rPr>
          <w:rFonts w:ascii="Arial" w:hAnsi="Arial" w:cs="Arial"/>
          <w:color w:val="365F91" w:themeColor="accent1" w:themeShade="BF"/>
        </w:rPr>
      </w:pPr>
      <w:r w:rsidRPr="00B96DFD">
        <w:rPr>
          <w:rFonts w:ascii="Arial" w:hAnsi="Arial" w:cs="Arial"/>
          <w:color w:val="365F91" w:themeColor="accent1" w:themeShade="BF"/>
        </w:rPr>
        <w:t>Inspirado en esos principios, se sostiene que la interpretación del recurso no se debe limitar al escrito en el que se inicia, sino que debe comprender el análisis de los documentos que lo integran y que, de hecho, forman parte de éste; pues sólo así puede alcanzarse una interpretación completa de la voluntad del recurrente y advertir el error o la omisión en que haya incurrido por ignorancia formal del derecho o, como es el caso, que desconozca la actuación desplegada por la autoridad, lo que implica armonizar la información con la que se cuenta, a fin de que a través de ella se precise el verdadero sentido de la controversia planteada, lo que en ningún momento implica dejar en estado de indefensión al sujeto obligado, puesto que se le concedió la oportunidad de sostener la legalidad de su actuación.</w:t>
      </w:r>
    </w:p>
    <w:p w:rsidR="00FA1FC4" w:rsidRPr="00B96DFD" w:rsidRDefault="006951A4" w:rsidP="00AE0736">
      <w:pPr>
        <w:pStyle w:val="Textoindependienteprimerasangra"/>
        <w:spacing w:before="240"/>
        <w:ind w:firstLine="900"/>
        <w:rPr>
          <w:rFonts w:ascii="Arial" w:hAnsi="Arial" w:cs="Arial"/>
          <w:color w:val="365F91" w:themeColor="accent1" w:themeShade="BF"/>
          <w:szCs w:val="26"/>
        </w:rPr>
      </w:pPr>
      <w:r w:rsidRPr="00B96DFD">
        <w:rPr>
          <w:rFonts w:ascii="Arial" w:hAnsi="Arial" w:cs="Arial"/>
          <w:color w:val="365F91" w:themeColor="accent1" w:themeShade="BF"/>
          <w:szCs w:val="26"/>
        </w:rPr>
        <w:t>Por ello y con la finalidad de resolver de manera más efectiva, se realizan l</w:t>
      </w:r>
      <w:r w:rsidR="00FA1FC4" w:rsidRPr="00B96DFD">
        <w:rPr>
          <w:rFonts w:ascii="Arial" w:hAnsi="Arial" w:cs="Arial"/>
          <w:color w:val="365F91" w:themeColor="accent1" w:themeShade="BF"/>
          <w:szCs w:val="26"/>
        </w:rPr>
        <w:t>a</w:t>
      </w:r>
      <w:r w:rsidRPr="00B96DFD">
        <w:rPr>
          <w:rFonts w:ascii="Arial" w:hAnsi="Arial" w:cs="Arial"/>
          <w:color w:val="365F91" w:themeColor="accent1" w:themeShade="BF"/>
          <w:szCs w:val="26"/>
        </w:rPr>
        <w:t>s siguientes precisiones:</w:t>
      </w:r>
    </w:p>
    <w:p w:rsidR="00FA1FC4" w:rsidRPr="00B96DFD" w:rsidRDefault="00FA1FC4" w:rsidP="00C53E9E">
      <w:pPr>
        <w:pStyle w:val="Textoindependienteprimerasangra"/>
        <w:spacing w:before="240"/>
        <w:ind w:firstLine="900"/>
        <w:rPr>
          <w:rFonts w:ascii="Arial" w:eastAsia="Arial Unicode MS" w:hAnsi="Arial" w:cs="Arial"/>
          <w:color w:val="365F91" w:themeColor="accent1" w:themeShade="BF"/>
          <w:szCs w:val="26"/>
          <w:lang w:val="es-MX"/>
        </w:rPr>
      </w:pPr>
      <w:r w:rsidRPr="00B96DFD">
        <w:rPr>
          <w:rFonts w:ascii="Arial" w:hAnsi="Arial" w:cs="Arial"/>
          <w:color w:val="365F91" w:themeColor="accent1" w:themeShade="BF"/>
          <w:szCs w:val="26"/>
        </w:rPr>
        <w:t xml:space="preserve">El particular </w:t>
      </w:r>
      <w:r w:rsidR="00C53E9E" w:rsidRPr="00B96DFD">
        <w:rPr>
          <w:rFonts w:ascii="Arial" w:hAnsi="Arial" w:cs="Arial"/>
          <w:color w:val="365F91" w:themeColor="accent1" w:themeShade="BF"/>
          <w:szCs w:val="26"/>
        </w:rPr>
        <w:t xml:space="preserve">solicitó a la Universidad </w:t>
      </w:r>
      <w:r w:rsidR="00377CD0" w:rsidRPr="00B96DFD">
        <w:rPr>
          <w:rFonts w:ascii="Arial" w:hAnsi="Arial" w:cs="Arial"/>
          <w:color w:val="365F91" w:themeColor="accent1" w:themeShade="BF"/>
          <w:szCs w:val="26"/>
        </w:rPr>
        <w:t>Tecnológica</w:t>
      </w:r>
      <w:r w:rsidR="00C53E9E" w:rsidRPr="00B96DFD">
        <w:rPr>
          <w:rFonts w:ascii="Arial" w:hAnsi="Arial" w:cs="Arial"/>
          <w:color w:val="365F91" w:themeColor="accent1" w:themeShade="BF"/>
          <w:szCs w:val="26"/>
        </w:rPr>
        <w:t xml:space="preserve"> de San Luis Potosí</w:t>
      </w:r>
      <w:r w:rsidR="00377CD0" w:rsidRPr="00B96DFD">
        <w:rPr>
          <w:rFonts w:ascii="Arial" w:hAnsi="Arial" w:cs="Arial"/>
          <w:color w:val="365F91" w:themeColor="accent1" w:themeShade="BF"/>
          <w:szCs w:val="26"/>
        </w:rPr>
        <w:t>,</w:t>
      </w:r>
      <w:r w:rsidRPr="00B96DFD">
        <w:rPr>
          <w:rFonts w:ascii="Arial" w:hAnsi="Arial" w:cs="Arial"/>
          <w:color w:val="365F91" w:themeColor="accent1" w:themeShade="BF"/>
          <w:szCs w:val="26"/>
        </w:rPr>
        <w:t xml:space="preserve"> </w:t>
      </w:r>
      <w:r w:rsidRPr="00B96DFD">
        <w:rPr>
          <w:rFonts w:ascii="Arial" w:eastAsia="Arial Unicode MS" w:hAnsi="Arial" w:cs="Arial"/>
          <w:color w:val="365F91" w:themeColor="accent1" w:themeShade="BF"/>
          <w:szCs w:val="26"/>
          <w:lang w:val="es-MX"/>
        </w:rPr>
        <w:t>el padrón de trabajadores afiliados al Sindicato Nacional de empleados y trabajadores docent</w:t>
      </w:r>
      <w:r w:rsidR="00C53E9E" w:rsidRPr="00B96DFD">
        <w:rPr>
          <w:rFonts w:ascii="Arial" w:eastAsia="Arial Unicode MS" w:hAnsi="Arial" w:cs="Arial"/>
          <w:color w:val="365F91" w:themeColor="accent1" w:themeShade="BF"/>
          <w:szCs w:val="26"/>
          <w:lang w:val="es-MX"/>
        </w:rPr>
        <w:t>es técnicos, administrativos CTM.</w:t>
      </w:r>
    </w:p>
    <w:p w:rsidR="00FA1FC4" w:rsidRPr="00B96DFD" w:rsidRDefault="00377CD0" w:rsidP="00377CD0">
      <w:pPr>
        <w:pStyle w:val="Textoindependienteprimerasangra"/>
        <w:spacing w:before="240"/>
        <w:ind w:firstLine="900"/>
        <w:rPr>
          <w:rFonts w:ascii="Arial" w:eastAsia="Arial Unicode MS" w:hAnsi="Arial" w:cs="Arial"/>
          <w:color w:val="365F91" w:themeColor="accent1" w:themeShade="BF"/>
          <w:szCs w:val="26"/>
          <w:lang w:val="es-MX"/>
        </w:rPr>
      </w:pPr>
      <w:r w:rsidRPr="00B96DFD">
        <w:rPr>
          <w:rFonts w:ascii="Arial" w:eastAsia="Arial Unicode MS" w:hAnsi="Arial" w:cs="Arial"/>
          <w:color w:val="365F91" w:themeColor="accent1" w:themeShade="BF"/>
          <w:szCs w:val="26"/>
          <w:lang w:val="es-MX"/>
        </w:rPr>
        <w:t>Al respecto, el sujeto obligado señaló que la UTSLP no cuenta con padrón de trabajadores afiliados al Sindicato Nacional de Empleados y trabajadores docentes, técnicos administrativos, CTM.</w:t>
      </w:r>
    </w:p>
    <w:p w:rsidR="00377CD0" w:rsidRPr="00B96DFD" w:rsidRDefault="00377CD0" w:rsidP="00377CD0">
      <w:pPr>
        <w:pStyle w:val="Textoindependienteprimerasangra"/>
        <w:spacing w:before="240"/>
        <w:ind w:firstLine="900"/>
        <w:rPr>
          <w:rFonts w:ascii="Arial" w:eastAsia="Arial Unicode MS" w:hAnsi="Arial" w:cs="Arial"/>
          <w:color w:val="365F91" w:themeColor="accent1" w:themeShade="BF"/>
          <w:szCs w:val="26"/>
          <w:lang w:val="es-MX"/>
        </w:rPr>
      </w:pPr>
      <w:r w:rsidRPr="00B96DFD">
        <w:rPr>
          <w:rFonts w:ascii="Arial" w:eastAsia="Arial Unicode MS" w:hAnsi="Arial" w:cs="Arial"/>
          <w:color w:val="365F91" w:themeColor="accent1" w:themeShade="BF"/>
          <w:szCs w:val="26"/>
          <w:lang w:val="es-MX"/>
        </w:rPr>
        <w:t xml:space="preserve">Inconforme con la respuesta otorgada, el particular señaló que contrario a lo aducido por la autoridad, éste si tiene la obligación de tener un padrón de trabajadores afiliados al </w:t>
      </w:r>
      <w:proofErr w:type="spellStart"/>
      <w:r w:rsidRPr="00B96DFD">
        <w:rPr>
          <w:rFonts w:ascii="Arial" w:eastAsia="Arial Unicode MS" w:hAnsi="Arial" w:cs="Arial"/>
          <w:color w:val="365F91" w:themeColor="accent1" w:themeShade="BF"/>
          <w:szCs w:val="26"/>
          <w:lang w:val="es-MX"/>
        </w:rPr>
        <w:t>multireferido</w:t>
      </w:r>
      <w:proofErr w:type="spellEnd"/>
      <w:r w:rsidRPr="00B96DFD">
        <w:rPr>
          <w:rFonts w:ascii="Arial" w:eastAsia="Arial Unicode MS" w:hAnsi="Arial" w:cs="Arial"/>
          <w:color w:val="365F91" w:themeColor="accent1" w:themeShade="BF"/>
          <w:szCs w:val="26"/>
          <w:lang w:val="es-MX"/>
        </w:rPr>
        <w:t xml:space="preserve"> sindicato. </w:t>
      </w:r>
    </w:p>
    <w:p w:rsidR="00356A70" w:rsidRPr="00B96DFD" w:rsidRDefault="006049F5" w:rsidP="00356A70">
      <w:pPr>
        <w:pStyle w:val="Textoindependienteprimerasangra"/>
        <w:spacing w:before="240"/>
        <w:ind w:firstLine="708"/>
        <w:rPr>
          <w:rFonts w:ascii="Arial" w:hAnsi="Arial" w:cs="Arial"/>
          <w:color w:val="365F91" w:themeColor="accent1" w:themeShade="BF"/>
          <w:szCs w:val="26"/>
        </w:rPr>
      </w:pPr>
      <w:r w:rsidRPr="00B96DFD">
        <w:rPr>
          <w:rFonts w:ascii="Arial" w:hAnsi="Arial" w:cs="Arial"/>
          <w:color w:val="365F91" w:themeColor="accent1" w:themeShade="BF"/>
          <w:szCs w:val="26"/>
        </w:rPr>
        <w:lastRenderedPageBreak/>
        <w:t>Asimismo</w:t>
      </w:r>
      <w:r w:rsidR="00D05244" w:rsidRPr="00B96DFD">
        <w:rPr>
          <w:rFonts w:ascii="Arial" w:hAnsi="Arial" w:cs="Arial"/>
          <w:color w:val="365F91" w:themeColor="accent1" w:themeShade="BF"/>
          <w:szCs w:val="26"/>
        </w:rPr>
        <w:t>,</w:t>
      </w:r>
      <w:r w:rsidRPr="00B96DFD">
        <w:rPr>
          <w:rFonts w:ascii="Arial" w:hAnsi="Arial" w:cs="Arial"/>
          <w:color w:val="365F91" w:themeColor="accent1" w:themeShade="BF"/>
          <w:szCs w:val="26"/>
        </w:rPr>
        <w:t xml:space="preserve"> señaló el inconforme que la Universidad Tecnológica rebaja el 1% (uno por ciento) del salario como cuota sindical obligatoria a los trabajadores afiliados, vía nómina, por medio del departamento de Recursos Humano</w:t>
      </w:r>
      <w:r w:rsidR="00356A70" w:rsidRPr="00B96DFD">
        <w:rPr>
          <w:rFonts w:ascii="Arial" w:hAnsi="Arial" w:cs="Arial"/>
          <w:color w:val="365F91" w:themeColor="accent1" w:themeShade="BF"/>
          <w:szCs w:val="26"/>
        </w:rPr>
        <w:t xml:space="preserve">. </w:t>
      </w:r>
    </w:p>
    <w:p w:rsidR="002B59A4" w:rsidRPr="00B96DFD" w:rsidRDefault="00356A70" w:rsidP="00356A70">
      <w:pPr>
        <w:pStyle w:val="Textoindependienteprimerasangra"/>
        <w:spacing w:before="240"/>
        <w:ind w:firstLine="708"/>
        <w:rPr>
          <w:rFonts w:ascii="Arial" w:hAnsi="Arial" w:cs="Arial"/>
          <w:color w:val="365F91" w:themeColor="accent1" w:themeShade="BF"/>
          <w:szCs w:val="26"/>
        </w:rPr>
      </w:pPr>
      <w:r w:rsidRPr="00B96DFD">
        <w:rPr>
          <w:rFonts w:ascii="Arial" w:hAnsi="Arial" w:cs="Arial"/>
          <w:color w:val="365F91" w:themeColor="accent1" w:themeShade="BF"/>
          <w:szCs w:val="26"/>
        </w:rPr>
        <w:t>Asimismo,</w:t>
      </w:r>
      <w:r w:rsidR="00FE1E70" w:rsidRPr="00B96DFD">
        <w:rPr>
          <w:rFonts w:ascii="Arial" w:hAnsi="Arial" w:cs="Arial"/>
          <w:color w:val="365F91" w:themeColor="accent1" w:themeShade="BF"/>
          <w:szCs w:val="26"/>
        </w:rPr>
        <w:t xml:space="preserve"> se precisa que de las constancias que obran en autos, conforme la certi</w:t>
      </w:r>
      <w:r w:rsidR="002B59A4" w:rsidRPr="00B96DFD">
        <w:rPr>
          <w:rFonts w:ascii="Arial" w:hAnsi="Arial" w:cs="Arial"/>
          <w:color w:val="365F91" w:themeColor="accent1" w:themeShade="BF"/>
          <w:szCs w:val="26"/>
        </w:rPr>
        <w:t>ficación que obra a foja catorce</w:t>
      </w:r>
      <w:r w:rsidR="00FE1E70" w:rsidRPr="00B96DFD">
        <w:rPr>
          <w:rFonts w:ascii="Arial" w:hAnsi="Arial" w:cs="Arial"/>
          <w:color w:val="365F91" w:themeColor="accent1" w:themeShade="BF"/>
          <w:szCs w:val="26"/>
        </w:rPr>
        <w:t xml:space="preserve">, se </w:t>
      </w:r>
      <w:r w:rsidR="002B59A4" w:rsidRPr="00B96DFD">
        <w:rPr>
          <w:rFonts w:ascii="Arial" w:hAnsi="Arial" w:cs="Arial"/>
          <w:color w:val="365F91" w:themeColor="accent1" w:themeShade="BF"/>
          <w:szCs w:val="26"/>
        </w:rPr>
        <w:t xml:space="preserve">asentó que la parte recurrente, </w:t>
      </w:r>
      <w:r w:rsidR="00FE1E70" w:rsidRPr="00B96DFD">
        <w:rPr>
          <w:rFonts w:ascii="Arial" w:hAnsi="Arial" w:cs="Arial"/>
          <w:color w:val="365F91" w:themeColor="accent1" w:themeShade="BF"/>
          <w:szCs w:val="26"/>
        </w:rPr>
        <w:t xml:space="preserve">realizó manifestación </w:t>
      </w:r>
      <w:r w:rsidR="002B59A4" w:rsidRPr="00B96DFD">
        <w:rPr>
          <w:rFonts w:ascii="Arial" w:hAnsi="Arial" w:cs="Arial"/>
          <w:color w:val="365F91" w:themeColor="accent1" w:themeShade="BF"/>
          <w:szCs w:val="26"/>
        </w:rPr>
        <w:t xml:space="preserve">referente a la información remitida por el sujeto obligado; que se tiene una lista de trabajadores afiliados a un sindicato, en razón de que el departamento de recursos humanos les descuenta vía nómina un porcentaje de su salarios como concepto de cuota sindical, por lo al ser un organismo público tiene la obligación de mostrar el padrón de beneficiarios ya que se destina </w:t>
      </w:r>
      <w:r w:rsidRPr="00B96DFD">
        <w:rPr>
          <w:rFonts w:ascii="Arial" w:hAnsi="Arial" w:cs="Arial"/>
          <w:color w:val="365F91" w:themeColor="accent1" w:themeShade="BF"/>
          <w:szCs w:val="26"/>
        </w:rPr>
        <w:t>también</w:t>
      </w:r>
      <w:r w:rsidR="002B59A4" w:rsidRPr="00B96DFD">
        <w:rPr>
          <w:rFonts w:ascii="Arial" w:hAnsi="Arial" w:cs="Arial"/>
          <w:color w:val="365F91" w:themeColor="accent1" w:themeShade="BF"/>
          <w:szCs w:val="26"/>
        </w:rPr>
        <w:t xml:space="preserve"> parte de sus recursos a pagos de su sindicato. </w:t>
      </w:r>
    </w:p>
    <w:p w:rsidR="00356A70" w:rsidRPr="00B96DFD" w:rsidRDefault="00356A70" w:rsidP="00356A70">
      <w:pPr>
        <w:pStyle w:val="Textoindependienteprimerasangra"/>
        <w:spacing w:before="240"/>
        <w:ind w:firstLine="708"/>
        <w:rPr>
          <w:rFonts w:ascii="Arial" w:hAnsi="Arial" w:cs="Arial"/>
          <w:color w:val="365F91" w:themeColor="accent1" w:themeShade="BF"/>
        </w:rPr>
      </w:pPr>
      <w:r w:rsidRPr="00B96DFD">
        <w:rPr>
          <w:rFonts w:ascii="Arial" w:hAnsi="Arial" w:cs="Arial"/>
          <w:color w:val="365F91" w:themeColor="accent1" w:themeShade="BF"/>
          <w:szCs w:val="26"/>
        </w:rPr>
        <w:t xml:space="preserve">Respecto a dichas manifestaciones, este Órgano Colegiado, les confiere valor de confesión ficta, (también llamada ficta), </w:t>
      </w:r>
      <w:r w:rsidRPr="00B96DFD">
        <w:rPr>
          <w:rFonts w:ascii="Arial" w:hAnsi="Arial" w:cs="Arial"/>
          <w:color w:val="365F91" w:themeColor="accent1" w:themeShade="BF"/>
        </w:rPr>
        <w:t xml:space="preserve">en vista a dichas expresiones, dado el sentido de que afirmó que se realizaban descuentos referentes al Sindicato señalado en su solicitud de </w:t>
      </w:r>
      <w:r w:rsidR="007B477F" w:rsidRPr="00B96DFD">
        <w:rPr>
          <w:rFonts w:ascii="Arial" w:hAnsi="Arial" w:cs="Arial"/>
          <w:color w:val="365F91" w:themeColor="accent1" w:themeShade="BF"/>
        </w:rPr>
        <w:t>información y</w:t>
      </w:r>
      <w:r w:rsidRPr="00B96DFD">
        <w:rPr>
          <w:rFonts w:ascii="Arial" w:hAnsi="Arial" w:cs="Arial"/>
          <w:color w:val="365F91" w:themeColor="accent1" w:themeShade="BF"/>
        </w:rPr>
        <w:t>, toda vez que dicha probanza se encuentra permitida para su admisión conforme lo establecido con la fracción III del numeral 174 de la Ley de la materia.</w:t>
      </w:r>
    </w:p>
    <w:p w:rsidR="002B59A4" w:rsidRPr="00B96DFD" w:rsidRDefault="00356A70" w:rsidP="00356A70">
      <w:pPr>
        <w:spacing w:before="240"/>
        <w:ind w:firstLine="708"/>
        <w:rPr>
          <w:rFonts w:ascii="Arial" w:hAnsi="Arial" w:cs="Arial"/>
          <w:color w:val="365F91" w:themeColor="accent1" w:themeShade="BF"/>
          <w:szCs w:val="26"/>
        </w:rPr>
      </w:pPr>
      <w:r w:rsidRPr="00B96DFD">
        <w:rPr>
          <w:rFonts w:ascii="Arial" w:hAnsi="Arial" w:cs="Arial"/>
          <w:color w:val="365F91" w:themeColor="accent1" w:themeShade="BF"/>
          <w:szCs w:val="26"/>
        </w:rPr>
        <w:t xml:space="preserve">En efecto, ello resulta así, ya que de la misma se infiere algún hecho, el cual, en realidad, constituye una presunción </w:t>
      </w:r>
      <w:proofErr w:type="spellStart"/>
      <w:r w:rsidRPr="00B96DFD">
        <w:rPr>
          <w:rFonts w:ascii="Arial" w:hAnsi="Arial" w:cs="Arial"/>
          <w:color w:val="365F91" w:themeColor="accent1" w:themeShade="BF"/>
          <w:szCs w:val="26"/>
        </w:rPr>
        <w:t>juris</w:t>
      </w:r>
      <w:proofErr w:type="spellEnd"/>
      <w:r w:rsidRPr="00B96DFD">
        <w:rPr>
          <w:rFonts w:ascii="Arial" w:hAnsi="Arial" w:cs="Arial"/>
          <w:color w:val="365F91" w:themeColor="accent1" w:themeShade="BF"/>
          <w:szCs w:val="26"/>
        </w:rPr>
        <w:t xml:space="preserve"> tantum</w:t>
      </w:r>
      <w:r w:rsidRPr="00B96DFD">
        <w:rPr>
          <w:rStyle w:val="Refdenotaalpie"/>
          <w:rFonts w:ascii="Arial" w:hAnsi="Arial" w:cs="Arial"/>
          <w:color w:val="365F91" w:themeColor="accent1" w:themeShade="BF"/>
          <w:szCs w:val="26"/>
        </w:rPr>
        <w:footnoteReference w:id="1"/>
      </w:r>
      <w:r w:rsidRPr="00B96DFD">
        <w:rPr>
          <w:rFonts w:ascii="Arial" w:hAnsi="Arial" w:cs="Arial"/>
          <w:color w:val="365F91" w:themeColor="accent1" w:themeShade="BF"/>
          <w:szCs w:val="26"/>
        </w:rPr>
        <w:t xml:space="preserve">; por tanto, como regla general, toda vez que la confesión no se limita al hecho sobre que pidió y sus circunstancias o modificaciones, sino que se extiende a hechos diversos que se atribuyen al recurrente, ya que corresponde a la parte quejosa aportar pruebas, sin que se limite a las que aduce ella misma, escogiendo unas manifestaciones y apartando otras inseparables de </w:t>
      </w:r>
      <w:r w:rsidRPr="00B96DFD">
        <w:rPr>
          <w:rFonts w:ascii="Arial" w:hAnsi="Arial" w:cs="Arial"/>
          <w:color w:val="365F91" w:themeColor="accent1" w:themeShade="BF"/>
          <w:szCs w:val="26"/>
        </w:rPr>
        <w:lastRenderedPageBreak/>
        <w:t>aquéllas, con la finalidad de desvirtuar la respuesta proporcionada por el sujeto obligado.</w:t>
      </w:r>
      <w:r w:rsidRPr="00B96DFD">
        <w:rPr>
          <w:rStyle w:val="Refdenotaalpie"/>
          <w:rFonts w:ascii="Arial" w:hAnsi="Arial" w:cs="Arial"/>
          <w:color w:val="365F91" w:themeColor="accent1" w:themeShade="BF"/>
          <w:szCs w:val="26"/>
        </w:rPr>
        <w:footnoteReference w:id="2"/>
      </w:r>
    </w:p>
    <w:p w:rsidR="00FE1E70" w:rsidRPr="00B96DFD" w:rsidRDefault="00FE1E70" w:rsidP="00FE1E70">
      <w:pPr>
        <w:spacing w:before="240"/>
        <w:ind w:firstLine="708"/>
        <w:rPr>
          <w:rFonts w:ascii="Arial" w:hAnsi="Arial" w:cs="Arial"/>
          <w:color w:val="365F91" w:themeColor="accent1" w:themeShade="BF"/>
        </w:rPr>
      </w:pPr>
      <w:r w:rsidRPr="00B96DFD">
        <w:rPr>
          <w:rFonts w:ascii="Arial" w:hAnsi="Arial" w:cs="Arial"/>
          <w:color w:val="365F91" w:themeColor="accent1" w:themeShade="BF"/>
        </w:rPr>
        <w:t xml:space="preserve">Por tanto, la carga procesal conferida al actor, para efecto de adminicular a su confesión probanza alguna por la que sus manifestaciones pudiesen perfeccionarse, no es eficaz para los fines pretendidos por éste, ya que tal y como se advierte, señaló </w:t>
      </w:r>
      <w:r w:rsidR="00582258" w:rsidRPr="00B96DFD">
        <w:rPr>
          <w:rFonts w:ascii="Arial" w:hAnsi="Arial" w:cs="Arial"/>
          <w:color w:val="365F91" w:themeColor="accent1" w:themeShade="BF"/>
        </w:rPr>
        <w:t>que se realizan</w:t>
      </w:r>
      <w:r w:rsidR="001D21CF" w:rsidRPr="00B96DFD">
        <w:rPr>
          <w:rFonts w:ascii="Arial" w:hAnsi="Arial" w:cs="Arial"/>
          <w:color w:val="365F91" w:themeColor="accent1" w:themeShade="BF"/>
        </w:rPr>
        <w:t xml:space="preserve"> los descuentos del 1% (uno por ciento) del salario como cuota sindical pero no así, adjunta </w:t>
      </w:r>
      <w:r w:rsidRPr="00B96DFD">
        <w:rPr>
          <w:rFonts w:ascii="Arial" w:hAnsi="Arial" w:cs="Arial"/>
          <w:color w:val="365F91" w:themeColor="accent1" w:themeShade="BF"/>
        </w:rPr>
        <w:t>materia</w:t>
      </w:r>
      <w:r w:rsidR="001D21CF" w:rsidRPr="00B96DFD">
        <w:rPr>
          <w:rFonts w:ascii="Arial" w:hAnsi="Arial" w:cs="Arial"/>
          <w:color w:val="365F91" w:themeColor="accent1" w:themeShade="BF"/>
        </w:rPr>
        <w:t>l</w:t>
      </w:r>
      <w:r w:rsidRPr="00B96DFD">
        <w:rPr>
          <w:rFonts w:ascii="Arial" w:hAnsi="Arial" w:cs="Arial"/>
          <w:color w:val="365F91" w:themeColor="accent1" w:themeShade="BF"/>
        </w:rPr>
        <w:t xml:space="preserve"> probatorio para efecto de acreditar su pretensión, esto es denotar </w:t>
      </w:r>
      <w:r w:rsidR="001D21CF" w:rsidRPr="00B96DFD">
        <w:rPr>
          <w:rFonts w:ascii="Arial" w:hAnsi="Arial" w:cs="Arial"/>
          <w:color w:val="365F91" w:themeColor="accent1" w:themeShade="BF"/>
        </w:rPr>
        <w:t xml:space="preserve">la afiliación al referido sindicato en virtud de los descuentos realizados. </w:t>
      </w:r>
    </w:p>
    <w:p w:rsidR="00FE1E70" w:rsidRPr="00B96DFD" w:rsidRDefault="00FE1E70" w:rsidP="00FE1E70">
      <w:pPr>
        <w:spacing w:before="240"/>
        <w:ind w:firstLine="708"/>
        <w:rPr>
          <w:rFonts w:ascii="Arial" w:hAnsi="Arial" w:cs="Arial"/>
          <w:color w:val="365F91" w:themeColor="accent1" w:themeShade="BF"/>
          <w:szCs w:val="26"/>
        </w:rPr>
      </w:pPr>
      <w:r w:rsidRPr="00B96DFD">
        <w:rPr>
          <w:rFonts w:ascii="Arial" w:hAnsi="Arial" w:cs="Arial"/>
          <w:color w:val="365F91" w:themeColor="accent1" w:themeShade="BF"/>
        </w:rPr>
        <w:t xml:space="preserve">Lo anterior encuentra su sustento –por analogía- en la Tesis Aislada </w:t>
      </w:r>
      <w:r w:rsidRPr="00B96DFD">
        <w:rPr>
          <w:rFonts w:ascii="Arial" w:hAnsi="Arial" w:cs="Arial"/>
          <w:color w:val="365F91" w:themeColor="accent1" w:themeShade="BF"/>
          <w:szCs w:val="26"/>
        </w:rPr>
        <w:t xml:space="preserve">II.1o.7 C (10a.), emitida por el Primer Tribunal Colegiado del Segundo Circuito con Residencia en Ciudad Nezahualcóyotl, Estado De México, Décima Época. Gaceta del Semanario Judicial de la Federación, Libro 10, </w:t>
      </w:r>
      <w:r w:rsidR="007B477F" w:rsidRPr="00B96DFD">
        <w:rPr>
          <w:rFonts w:ascii="Arial" w:hAnsi="Arial" w:cs="Arial"/>
          <w:color w:val="365F91" w:themeColor="accent1" w:themeShade="BF"/>
          <w:szCs w:val="26"/>
        </w:rPr>
        <w:t>septiembre</w:t>
      </w:r>
      <w:r w:rsidRPr="00B96DFD">
        <w:rPr>
          <w:rFonts w:ascii="Arial" w:hAnsi="Arial" w:cs="Arial"/>
          <w:color w:val="365F91" w:themeColor="accent1" w:themeShade="BF"/>
          <w:szCs w:val="26"/>
        </w:rPr>
        <w:t xml:space="preserve"> de 2014, Tomo III.  Página: 2384, cuyo rubro y texto rezan lo siguiente: </w:t>
      </w:r>
    </w:p>
    <w:p w:rsidR="00FE1E70" w:rsidRPr="00B96DFD" w:rsidRDefault="00FE1E70" w:rsidP="00FE1E70">
      <w:pPr>
        <w:spacing w:before="240" w:line="240" w:lineRule="auto"/>
        <w:ind w:left="708" w:firstLine="708"/>
        <w:rPr>
          <w:rFonts w:ascii="Arial" w:hAnsi="Arial" w:cs="Arial"/>
          <w:i/>
          <w:color w:val="365F91" w:themeColor="accent1" w:themeShade="BF"/>
          <w:sz w:val="22"/>
          <w:szCs w:val="22"/>
        </w:rPr>
      </w:pPr>
      <w:r w:rsidRPr="00B96DFD">
        <w:rPr>
          <w:rFonts w:ascii="Arial" w:hAnsi="Arial" w:cs="Arial"/>
          <w:b/>
          <w:i/>
          <w:color w:val="365F91" w:themeColor="accent1" w:themeShade="BF"/>
          <w:sz w:val="22"/>
          <w:szCs w:val="22"/>
        </w:rPr>
        <w:t xml:space="preserve">CONFESIÓN TÁCITA O FICTA. SU ALCANCE Y VALOR PROBATORIO EN UN JUICIO ORDINARIO CIVIL DE TERMINACIÓN DE CONTRATO DE COMODATO (LEGISLACIÓN DEL ESTADO DE MÉXICO). </w:t>
      </w:r>
      <w:r w:rsidRPr="00B96DFD">
        <w:rPr>
          <w:rFonts w:ascii="Arial" w:hAnsi="Arial" w:cs="Arial"/>
          <w:i/>
          <w:color w:val="365F91" w:themeColor="accent1" w:themeShade="BF"/>
          <w:sz w:val="22"/>
          <w:szCs w:val="22"/>
        </w:rPr>
        <w:t>A partir de las reformas al Código de Procedimientos Civiles del Estado de México</w:t>
      </w:r>
      <w:r w:rsidRPr="00B96DFD">
        <w:rPr>
          <w:rFonts w:ascii="Arial" w:hAnsi="Arial" w:cs="Arial"/>
          <w:b/>
          <w:i/>
          <w:color w:val="365F91" w:themeColor="accent1" w:themeShade="BF"/>
          <w:sz w:val="22"/>
          <w:szCs w:val="22"/>
        </w:rPr>
        <w:t>, la confesión ficta, por sí misma, no puede adquirir el valor de prueba plena, sino sólo cuando se encuentra apoyada o adminiculada con otros medios fidedignos, que analizados en su conjunto</w:t>
      </w:r>
      <w:r w:rsidRPr="00B96DFD">
        <w:rPr>
          <w:rFonts w:ascii="Arial" w:hAnsi="Arial" w:cs="Arial"/>
          <w:i/>
          <w:color w:val="365F91" w:themeColor="accent1" w:themeShade="BF"/>
          <w:sz w:val="22"/>
          <w:szCs w:val="22"/>
        </w:rPr>
        <w:t xml:space="preserve"> y, de conformidad con el artículo 1.359 de dicho código </w:t>
      </w:r>
      <w:r w:rsidRPr="00B96DFD">
        <w:rPr>
          <w:rFonts w:ascii="Arial" w:hAnsi="Arial" w:cs="Arial"/>
          <w:b/>
          <w:i/>
          <w:color w:val="365F91" w:themeColor="accent1" w:themeShade="BF"/>
          <w:sz w:val="22"/>
          <w:szCs w:val="22"/>
        </w:rPr>
        <w:t>produzcan en el juzgador la convicción suficiente para concluir que queda acreditada la verdad acerca de las acciones o excepciones planteadas.</w:t>
      </w:r>
      <w:r w:rsidRPr="00B96DFD">
        <w:rPr>
          <w:rFonts w:ascii="Arial" w:hAnsi="Arial" w:cs="Arial"/>
          <w:i/>
          <w:color w:val="365F91" w:themeColor="accent1" w:themeShade="BF"/>
          <w:sz w:val="22"/>
          <w:szCs w:val="22"/>
        </w:rPr>
        <w:t xml:space="preserve"> </w:t>
      </w:r>
      <w:r w:rsidRPr="00B96DFD">
        <w:rPr>
          <w:rFonts w:ascii="Arial" w:hAnsi="Arial" w:cs="Arial"/>
          <w:b/>
          <w:i/>
          <w:color w:val="365F91" w:themeColor="accent1" w:themeShade="BF"/>
          <w:sz w:val="22"/>
          <w:szCs w:val="22"/>
        </w:rPr>
        <w:t xml:space="preserve">En efecto, para que la confesión ficta cree convicción plena, debe encontrarse adminiculada o corroborada con otra probanza, independientemente de que no exista prueba en contrario que la desvirtúe, lo cual implica que si el actor o el demandado en un juicio ordinario civil de terminación de contrato de comodato, no logran por el medio idóneo acreditar la relación de éste entre las partes, esto es, a través de la documental privada o pública en la que conste por escrito el acto jurídico base de la acción; </w:t>
      </w:r>
      <w:r w:rsidRPr="00B96DFD">
        <w:rPr>
          <w:rFonts w:ascii="Arial" w:hAnsi="Arial" w:cs="Arial"/>
          <w:i/>
          <w:color w:val="365F91" w:themeColor="accent1" w:themeShade="BF"/>
          <w:sz w:val="22"/>
          <w:szCs w:val="22"/>
        </w:rPr>
        <w:t xml:space="preserve">la confesión ficta surgida de que la parte legalmente citada a absolver posiciones no compareció sin justa causa, insistió en negarse a declarar o en no responder afirmativa o negativamente y manifestar que ignoraba los hechos, no puede considerarse suficiente para tener por acreditada dicha relación pues, en caso de que no se haya celebrado por escrito el comodato, las pruebas que se rindan deben ser de tal calidad que se equiparen al principio de prueba escrita que exige el Código Civil; por ello, la confesión ficta o tácita, por sí misma, será insuficiente si no está concatenada con otros medios </w:t>
      </w:r>
      <w:r w:rsidRPr="00B96DFD">
        <w:rPr>
          <w:rFonts w:ascii="Arial" w:hAnsi="Arial" w:cs="Arial"/>
          <w:i/>
          <w:color w:val="365F91" w:themeColor="accent1" w:themeShade="BF"/>
          <w:sz w:val="22"/>
          <w:szCs w:val="22"/>
        </w:rPr>
        <w:lastRenderedPageBreak/>
        <w:t>de convicción, aun cuando actualmente queda al libre arbitrio del juzgador el valor que pueda otorgarse a dicha confesional, porque dicha libertad no es absoluta, sino que para considerarse prueba plena debe estar apoyada o adminiculada y analizarse de conformidad con las citadas reglas que produzcan en el juzgador la convicción suficiente para concluir en la veracidad de las acciones o excepciones planteadas.</w:t>
      </w:r>
    </w:p>
    <w:p w:rsidR="00FE1E70" w:rsidRPr="00B96DFD" w:rsidRDefault="00FE1E70" w:rsidP="00FE1E70">
      <w:pPr>
        <w:spacing w:before="240"/>
        <w:ind w:firstLine="708"/>
        <w:rPr>
          <w:rFonts w:ascii="Arial" w:hAnsi="Arial" w:cs="Arial"/>
          <w:color w:val="365F91" w:themeColor="accent1" w:themeShade="BF"/>
          <w:szCs w:val="26"/>
        </w:rPr>
      </w:pPr>
      <w:r w:rsidRPr="00B96DFD">
        <w:rPr>
          <w:rFonts w:ascii="Arial" w:hAnsi="Arial" w:cs="Arial"/>
          <w:color w:val="365F91" w:themeColor="accent1" w:themeShade="BF"/>
          <w:szCs w:val="26"/>
        </w:rPr>
        <w:t>*el énfasis es propio.</w:t>
      </w:r>
    </w:p>
    <w:p w:rsidR="00FE1E70" w:rsidRPr="00B96DFD" w:rsidRDefault="00FE1E70" w:rsidP="00FE1E70">
      <w:pPr>
        <w:spacing w:before="240"/>
        <w:ind w:firstLine="708"/>
        <w:rPr>
          <w:rFonts w:ascii="Arial" w:eastAsia="Arial Unicode MS" w:hAnsi="Arial" w:cs="Arial"/>
          <w:color w:val="365F91" w:themeColor="accent1" w:themeShade="BF"/>
          <w:szCs w:val="26"/>
        </w:rPr>
      </w:pPr>
      <w:r w:rsidRPr="00B96DFD">
        <w:rPr>
          <w:rFonts w:ascii="Arial" w:hAnsi="Arial" w:cs="Arial"/>
          <w:color w:val="365F91" w:themeColor="accent1" w:themeShade="BF"/>
          <w:szCs w:val="26"/>
        </w:rPr>
        <w:t xml:space="preserve">En el caso concreto, para que la confesión ficta cree convicción plena, debe encontrarse adminiculada o corroborada con otra probanza, independientemente de que no exista prueba en contrario que la desvirtúe, lo cual implica que el particular debió justificar los </w:t>
      </w:r>
      <w:r w:rsidRPr="00B96DFD">
        <w:rPr>
          <w:rFonts w:ascii="Arial" w:eastAsia="Arial Unicode MS" w:hAnsi="Arial" w:cs="Arial"/>
          <w:color w:val="365F91" w:themeColor="accent1" w:themeShade="BF"/>
          <w:szCs w:val="26"/>
        </w:rPr>
        <w:t xml:space="preserve">hechos generadores del derecho que se pretende, por lo que la carga de la prueba de las circunstancias que han impedido el acceso a la información requerida, puesto que con base al principio procesal “carga de la prueba”, el recurrente debió asumir ciertas conductas respecto de las consideraciones que emite en sus motivos de inconformidad, ya que para quien resuelve no se tiene la certeza de tales aseveraciones. </w:t>
      </w:r>
    </w:p>
    <w:p w:rsidR="002D2780" w:rsidRPr="00B96DFD" w:rsidRDefault="001D21CF" w:rsidP="001D21CF">
      <w:pPr>
        <w:pStyle w:val="Textoindependienteprimerasangra"/>
        <w:spacing w:before="240"/>
        <w:ind w:firstLine="708"/>
        <w:rPr>
          <w:rFonts w:ascii="Arial" w:hAnsi="Arial" w:cs="Arial"/>
          <w:i/>
          <w:color w:val="365F91" w:themeColor="accent1" w:themeShade="BF"/>
          <w:szCs w:val="26"/>
        </w:rPr>
      </w:pPr>
      <w:r w:rsidRPr="00B96DFD">
        <w:rPr>
          <w:rFonts w:ascii="Arial" w:hAnsi="Arial" w:cs="Arial"/>
          <w:color w:val="365F91" w:themeColor="accent1" w:themeShade="BF"/>
          <w:szCs w:val="26"/>
        </w:rPr>
        <w:t>Ahora bien, d</w:t>
      </w:r>
      <w:r w:rsidR="00AE0736" w:rsidRPr="00B96DFD">
        <w:rPr>
          <w:rFonts w:ascii="Arial" w:hAnsi="Arial" w:cs="Arial"/>
          <w:color w:val="365F91" w:themeColor="accent1" w:themeShade="BF"/>
          <w:szCs w:val="26"/>
        </w:rPr>
        <w:t>e un análisis integral de la solicitud de información del particular conforme al pronunciamiento por parte del sujeto obligado a través</w:t>
      </w:r>
      <w:r w:rsidR="005459FD" w:rsidRPr="00B96DFD">
        <w:rPr>
          <w:rFonts w:ascii="Arial" w:hAnsi="Arial" w:cs="Arial"/>
          <w:color w:val="365F91" w:themeColor="accent1" w:themeShade="BF"/>
          <w:szCs w:val="26"/>
        </w:rPr>
        <w:t xml:space="preserve">, se advierte que el sujeto obligado emite su respuesta con fundamento en el artículo 93 de la Ley de Transparencia y Acceso a la Información Pública del Estado de San Luis Potosí; que la citada institución educativa cuenta con el registro de trabajadores de dicha institución que se encuentran afiliados al sindicato titular del contrato colectivo de trabajo, no siendo así el padrón de trabajadores afiliados al Sindicato Nacional de Empleados y Trabajadores Docentes Técnicos, </w:t>
      </w:r>
      <w:proofErr w:type="spellStart"/>
      <w:r w:rsidR="005459FD" w:rsidRPr="00B96DFD">
        <w:rPr>
          <w:rFonts w:ascii="Arial" w:hAnsi="Arial" w:cs="Arial"/>
          <w:color w:val="365F91" w:themeColor="accent1" w:themeShade="BF"/>
          <w:szCs w:val="26"/>
        </w:rPr>
        <w:t>Admvos</w:t>
      </w:r>
      <w:proofErr w:type="spellEnd"/>
      <w:r w:rsidR="005459FD" w:rsidRPr="00B96DFD">
        <w:rPr>
          <w:rFonts w:ascii="Arial" w:hAnsi="Arial" w:cs="Arial"/>
          <w:color w:val="365F91" w:themeColor="accent1" w:themeShade="BF"/>
          <w:szCs w:val="26"/>
        </w:rPr>
        <w:t>, CTM. Solicitado; que el descuento al que hace mención el recurrente, se efectúa en base al contrato colectivo de trabajo vigente, el cual establece: “</w:t>
      </w:r>
      <w:r w:rsidR="005459FD" w:rsidRPr="00B96DFD">
        <w:rPr>
          <w:rFonts w:ascii="Arial" w:hAnsi="Arial" w:cs="Arial"/>
          <w:i/>
          <w:color w:val="365F91" w:themeColor="accent1" w:themeShade="BF"/>
          <w:szCs w:val="26"/>
        </w:rPr>
        <w:t xml:space="preserve">cláusula 42.- La UTSLP se obliga a descontar las cuotas ordinarias y extraordinarias que el sindicato haga de su conocimiento”. </w:t>
      </w:r>
    </w:p>
    <w:p w:rsidR="002D2780" w:rsidRPr="00B96DFD" w:rsidRDefault="002D2780" w:rsidP="00AE0736">
      <w:pPr>
        <w:pStyle w:val="Textoindependienteprimerasangra"/>
        <w:spacing w:before="240"/>
        <w:ind w:firstLine="900"/>
        <w:rPr>
          <w:rFonts w:ascii="Arial" w:hAnsi="Arial" w:cs="Arial"/>
          <w:color w:val="365F91" w:themeColor="accent1" w:themeShade="BF"/>
          <w:szCs w:val="26"/>
        </w:rPr>
      </w:pPr>
      <w:r w:rsidRPr="00B96DFD">
        <w:rPr>
          <w:rFonts w:ascii="Arial" w:hAnsi="Arial" w:cs="Arial"/>
          <w:color w:val="365F91" w:themeColor="accent1" w:themeShade="BF"/>
          <w:szCs w:val="26"/>
        </w:rPr>
        <w:t xml:space="preserve">Que respecto a la fracción III, del numeral 377 de la Ley Federal del Trabajo, referente a las obligaciones de los Sindicatos, indicó el sujeto </w:t>
      </w:r>
      <w:r w:rsidRPr="00B96DFD">
        <w:rPr>
          <w:rFonts w:ascii="Arial" w:hAnsi="Arial" w:cs="Arial"/>
          <w:color w:val="365F91" w:themeColor="accent1" w:themeShade="BF"/>
          <w:szCs w:val="26"/>
        </w:rPr>
        <w:lastRenderedPageBreak/>
        <w:t xml:space="preserve">obligado que resulta evidente que la obligación va dirigida a autoridades del trabajo y no a la Institución Educativa. </w:t>
      </w:r>
    </w:p>
    <w:p w:rsidR="000452E7" w:rsidRPr="00B96DFD" w:rsidRDefault="000452E7" w:rsidP="00AE0736">
      <w:pPr>
        <w:pStyle w:val="Textoindependienteprimerasangra"/>
        <w:spacing w:before="240"/>
        <w:ind w:firstLine="900"/>
        <w:rPr>
          <w:rFonts w:ascii="Arial" w:hAnsi="Arial" w:cs="Arial"/>
          <w:color w:val="365F91" w:themeColor="accent1" w:themeShade="BF"/>
          <w:szCs w:val="26"/>
        </w:rPr>
      </w:pPr>
      <w:r w:rsidRPr="00B96DFD">
        <w:rPr>
          <w:rFonts w:ascii="Arial" w:hAnsi="Arial" w:cs="Arial"/>
          <w:color w:val="365F91" w:themeColor="accent1" w:themeShade="BF"/>
          <w:szCs w:val="26"/>
        </w:rPr>
        <w:t xml:space="preserve">Finalmente, se reitera la obligación de tener el padrón de trabajadores de la institución pertenecientes a dicho sindicato, sin </w:t>
      </w:r>
      <w:r w:rsidR="007B477F" w:rsidRPr="00B96DFD">
        <w:rPr>
          <w:rFonts w:ascii="Arial" w:hAnsi="Arial" w:cs="Arial"/>
          <w:color w:val="365F91" w:themeColor="accent1" w:themeShade="BF"/>
          <w:szCs w:val="26"/>
        </w:rPr>
        <w:t>embargo,</w:t>
      </w:r>
      <w:r w:rsidRPr="00B96DFD">
        <w:rPr>
          <w:rFonts w:ascii="Arial" w:hAnsi="Arial" w:cs="Arial"/>
          <w:color w:val="365F91" w:themeColor="accent1" w:themeShade="BF"/>
          <w:szCs w:val="26"/>
        </w:rPr>
        <w:t xml:space="preserve"> la Universidad Tecnológica de San Luis Potosí no cuenta con padrón de trabajadores afiliado al Sindicato Nacional de Empleados y Trabajadores Docentes Técnicos, ADMVOS. CTM solicitado, aunado a lo establecido en el artículo 93 de la Ley de Transparencia y Acceso a l</w:t>
      </w:r>
      <w:r w:rsidR="003D3A05" w:rsidRPr="00B96DFD">
        <w:rPr>
          <w:rFonts w:ascii="Arial" w:hAnsi="Arial" w:cs="Arial"/>
          <w:color w:val="365F91" w:themeColor="accent1" w:themeShade="BF"/>
          <w:szCs w:val="26"/>
        </w:rPr>
        <w:t>a</w:t>
      </w:r>
      <w:r w:rsidRPr="00B96DFD">
        <w:rPr>
          <w:rFonts w:ascii="Arial" w:hAnsi="Arial" w:cs="Arial"/>
          <w:color w:val="365F91" w:themeColor="accent1" w:themeShade="BF"/>
          <w:szCs w:val="26"/>
        </w:rPr>
        <w:t xml:space="preserve"> Inform</w:t>
      </w:r>
      <w:r w:rsidR="003D3A05" w:rsidRPr="00B96DFD">
        <w:rPr>
          <w:rFonts w:ascii="Arial" w:hAnsi="Arial" w:cs="Arial"/>
          <w:color w:val="365F91" w:themeColor="accent1" w:themeShade="BF"/>
          <w:szCs w:val="26"/>
        </w:rPr>
        <w:t>a</w:t>
      </w:r>
      <w:r w:rsidRPr="00B96DFD">
        <w:rPr>
          <w:rFonts w:ascii="Arial" w:hAnsi="Arial" w:cs="Arial"/>
          <w:color w:val="365F91" w:themeColor="accent1" w:themeShade="BF"/>
          <w:szCs w:val="26"/>
        </w:rPr>
        <w:t>ción Pública del Estado de San Luis Potosí, por lo que concluye que la obligación es de Sindicatos</w:t>
      </w:r>
      <w:r w:rsidR="003D3A05" w:rsidRPr="00B96DFD">
        <w:rPr>
          <w:rFonts w:ascii="Arial" w:hAnsi="Arial" w:cs="Arial"/>
          <w:color w:val="365F91" w:themeColor="accent1" w:themeShade="BF"/>
          <w:szCs w:val="26"/>
        </w:rPr>
        <w:t>; que la afiliación sindical con la que cuenta dicha institución educativa es con base al segundo párrafo de la cláusula 8 del contrato colectivo de trabajo vigente; que con fundamento en el criterio 02-17 emitido por el INAI, se pone a disposición el listado del personal al que se le descuenta cuota sindical</w:t>
      </w:r>
      <w:r w:rsidR="006951A4" w:rsidRPr="00B96DFD">
        <w:rPr>
          <w:rFonts w:ascii="Arial" w:hAnsi="Arial" w:cs="Arial"/>
          <w:color w:val="365F91" w:themeColor="accent1" w:themeShade="BF"/>
          <w:szCs w:val="26"/>
        </w:rPr>
        <w:t>.</w:t>
      </w:r>
      <w:r w:rsidRPr="00B96DFD">
        <w:rPr>
          <w:rFonts w:ascii="Arial" w:hAnsi="Arial" w:cs="Arial"/>
          <w:color w:val="365F91" w:themeColor="accent1" w:themeShade="BF"/>
          <w:szCs w:val="26"/>
        </w:rPr>
        <w:t xml:space="preserve"> </w:t>
      </w:r>
    </w:p>
    <w:p w:rsidR="000A0AEC" w:rsidRPr="00B96DFD" w:rsidRDefault="001D21CF" w:rsidP="001D21CF">
      <w:pPr>
        <w:spacing w:after="240"/>
        <w:rPr>
          <w:rFonts w:ascii="Arial" w:eastAsiaTheme="minorHAnsi" w:hAnsi="Arial" w:cs="Arial"/>
          <w:color w:val="365F91" w:themeColor="accent1" w:themeShade="BF"/>
          <w:szCs w:val="26"/>
          <w:lang w:val="es-MX" w:eastAsia="en-US"/>
        </w:rPr>
      </w:pPr>
      <w:r w:rsidRPr="00B96DFD">
        <w:rPr>
          <w:rFonts w:ascii="Arial" w:eastAsiaTheme="minorHAnsi" w:hAnsi="Arial" w:cs="Arial"/>
          <w:color w:val="365F91" w:themeColor="accent1" w:themeShade="BF"/>
          <w:szCs w:val="26"/>
          <w:lang w:val="es-MX" w:eastAsia="en-US"/>
        </w:rPr>
        <w:tab/>
        <w:t xml:space="preserve">En este sentido, es de señalar al particular que conforme lo establecido por el </w:t>
      </w:r>
      <w:r w:rsidR="000A0AEC" w:rsidRPr="00B96DFD">
        <w:rPr>
          <w:rFonts w:ascii="Arial" w:eastAsiaTheme="minorHAnsi" w:hAnsi="Arial" w:cs="Arial"/>
          <w:color w:val="365F91" w:themeColor="accent1" w:themeShade="BF"/>
          <w:szCs w:val="26"/>
          <w:lang w:val="es-MX" w:eastAsia="en-US"/>
        </w:rPr>
        <w:t>artículo 126 de la Ley de Transparencia y Acceso a la Información Pública del Estado</w:t>
      </w:r>
      <w:r w:rsidRPr="00B96DFD">
        <w:rPr>
          <w:rFonts w:ascii="Arial" w:eastAsiaTheme="minorHAnsi" w:hAnsi="Arial" w:cs="Arial"/>
          <w:color w:val="365F91" w:themeColor="accent1" w:themeShade="BF"/>
          <w:szCs w:val="26"/>
          <w:lang w:val="es-MX" w:eastAsia="en-US"/>
        </w:rPr>
        <w:t>, se</w:t>
      </w:r>
      <w:r w:rsidR="000A0AEC" w:rsidRPr="00B96DFD">
        <w:rPr>
          <w:rFonts w:ascii="Arial" w:eastAsiaTheme="minorHAnsi" w:hAnsi="Arial" w:cs="Arial"/>
          <w:color w:val="365F91" w:themeColor="accent1" w:themeShade="BF"/>
          <w:szCs w:val="26"/>
          <w:lang w:val="es-MX" w:eastAsia="en-US"/>
        </w:rPr>
        <w:t xml:space="preserve"> establece de manera imperativa que no podrá ser omitida la información referente a las</w:t>
      </w:r>
      <w:r w:rsidRPr="00B96DFD">
        <w:rPr>
          <w:rFonts w:ascii="Arial" w:eastAsiaTheme="minorHAnsi" w:hAnsi="Arial" w:cs="Arial"/>
          <w:color w:val="365F91" w:themeColor="accent1" w:themeShade="BF"/>
          <w:szCs w:val="26"/>
          <w:lang w:val="es-MX" w:eastAsia="en-US"/>
        </w:rPr>
        <w:t xml:space="preserve"> obligaciones de transparencia; </w:t>
      </w:r>
      <w:r w:rsidR="000A0AEC" w:rsidRPr="00B96DFD">
        <w:rPr>
          <w:rFonts w:ascii="Arial" w:eastAsiaTheme="minorHAnsi" w:hAnsi="Arial" w:cs="Arial"/>
          <w:color w:val="365F91" w:themeColor="accent1" w:themeShade="BF"/>
          <w:szCs w:val="26"/>
          <w:lang w:val="es-MX" w:eastAsia="en-US"/>
        </w:rPr>
        <w:t>pues su publicidad yace en los siguientes dispositivos normativos:</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ARTÍCULO 92. Las autoridades administrativas y jurisdiccionales en materia laboral deberán poner a disposición del público y mantener actualizada y accesible, la siguiente información de los sindicatos: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I. Los documentos del registro de los sindicatos, que deberán contener, entre otros: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a) El domicilio.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b) Número de registro.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c) Nombre del sindicato.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d) Nombre de los integrantes del comité ejecutivo y comisiones que ejerzan funciones de vigilancia.</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e) Fecha de vigencia del comité ejecutivo.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f) Número de socios. g) Centro de trabajo al que pertenezcan.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h) Central a la que pertenezcan, en su caso;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II. Las tomas de nota; </w:t>
      </w:r>
    </w:p>
    <w:p w:rsidR="000A0AEC" w:rsidRPr="00B96DFD" w:rsidRDefault="000A0AEC" w:rsidP="000A0AEC">
      <w:pPr>
        <w:spacing w:line="240" w:lineRule="auto"/>
        <w:ind w:left="709" w:firstLine="709"/>
        <w:rPr>
          <w:rFonts w:ascii="Arial" w:hAnsi="Arial" w:cs="Arial"/>
          <w:b/>
          <w:i/>
          <w:color w:val="365F91" w:themeColor="accent1" w:themeShade="BF"/>
          <w:sz w:val="22"/>
          <w:szCs w:val="22"/>
          <w:u w:val="single"/>
        </w:rPr>
      </w:pPr>
      <w:r w:rsidRPr="00B96DFD">
        <w:rPr>
          <w:rFonts w:ascii="Arial" w:hAnsi="Arial" w:cs="Arial"/>
          <w:b/>
          <w:i/>
          <w:color w:val="365F91" w:themeColor="accent1" w:themeShade="BF"/>
          <w:sz w:val="22"/>
          <w:szCs w:val="22"/>
          <w:u w:val="single"/>
        </w:rPr>
        <w:t>I</w:t>
      </w:r>
      <w:r w:rsidRPr="00B96DFD">
        <w:rPr>
          <w:rFonts w:ascii="Arial" w:hAnsi="Arial" w:cs="Arial"/>
          <w:i/>
          <w:color w:val="365F91" w:themeColor="accent1" w:themeShade="BF"/>
          <w:sz w:val="22"/>
          <w:szCs w:val="22"/>
        </w:rPr>
        <w:t xml:space="preserve">II. El estatuto; </w:t>
      </w:r>
    </w:p>
    <w:p w:rsidR="000A0AEC" w:rsidRPr="00B96DFD" w:rsidRDefault="000A0AEC" w:rsidP="000A0AEC">
      <w:pPr>
        <w:spacing w:line="240" w:lineRule="auto"/>
        <w:ind w:left="709" w:firstLine="709"/>
        <w:rPr>
          <w:rFonts w:ascii="Arial" w:hAnsi="Arial" w:cs="Arial"/>
          <w:b/>
          <w:i/>
          <w:color w:val="365F91" w:themeColor="accent1" w:themeShade="BF"/>
          <w:sz w:val="22"/>
          <w:szCs w:val="22"/>
          <w:u w:val="single"/>
        </w:rPr>
      </w:pPr>
      <w:r w:rsidRPr="00B96DFD">
        <w:rPr>
          <w:rFonts w:ascii="Arial" w:hAnsi="Arial" w:cs="Arial"/>
          <w:b/>
          <w:i/>
          <w:color w:val="365F91" w:themeColor="accent1" w:themeShade="BF"/>
          <w:sz w:val="22"/>
          <w:szCs w:val="22"/>
          <w:u w:val="single"/>
        </w:rPr>
        <w:t xml:space="preserve">IV. El padrón de socios;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V. Las actas de asamblea;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VI. Los reglamentos interiores de trabajo;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lastRenderedPageBreak/>
        <w:t xml:space="preserve">VII. Los contratos colectivos, incluyendo el tabulador, convenios y las condiciones generales de trabajo, y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VIII. Todos los documentos contenidos en el Expediente de registro sindical y de contratos colectivos de trabajo.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Las autoridades administrativas y jurisdiccionales en materia laboral deberán expedir copias de los documentos que obren en los expedientes de los registros a los solicitantes que los requieran, de conformidad con el procedimiento de acceso a la información.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Por lo que se refiere a los documentos que obran en el expediente de registro de las asociaciones, únicamente estará clasificada como información confidencial, los domicilios de los trabajadores señalados en los padrones de socios.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ARTÍCULO 93. </w:t>
      </w:r>
      <w:r w:rsidRPr="00B96DFD">
        <w:rPr>
          <w:rFonts w:ascii="Arial" w:hAnsi="Arial" w:cs="Arial"/>
          <w:b/>
          <w:i/>
          <w:color w:val="365F91" w:themeColor="accent1" w:themeShade="BF"/>
          <w:sz w:val="22"/>
          <w:szCs w:val="22"/>
          <w:u w:val="single"/>
        </w:rPr>
        <w:t>Los sindicatos</w:t>
      </w:r>
      <w:r w:rsidRPr="00B96DFD">
        <w:rPr>
          <w:rFonts w:ascii="Arial" w:hAnsi="Arial" w:cs="Arial"/>
          <w:i/>
          <w:color w:val="365F91" w:themeColor="accent1" w:themeShade="BF"/>
          <w:sz w:val="22"/>
          <w:szCs w:val="22"/>
          <w:u w:val="single"/>
        </w:rPr>
        <w:t xml:space="preserve"> </w:t>
      </w:r>
      <w:r w:rsidRPr="00B96DFD">
        <w:rPr>
          <w:rFonts w:ascii="Arial" w:hAnsi="Arial" w:cs="Arial"/>
          <w:b/>
          <w:i/>
          <w:color w:val="365F91" w:themeColor="accent1" w:themeShade="BF"/>
          <w:sz w:val="22"/>
          <w:szCs w:val="22"/>
          <w:u w:val="single"/>
        </w:rPr>
        <w:t>que reciban y ejerzan recursos públicos</w:t>
      </w:r>
      <w:r w:rsidRPr="00B96DFD">
        <w:rPr>
          <w:rFonts w:ascii="Arial" w:hAnsi="Arial" w:cs="Arial"/>
          <w:i/>
          <w:color w:val="365F91" w:themeColor="accent1" w:themeShade="BF"/>
          <w:sz w:val="22"/>
          <w:szCs w:val="22"/>
        </w:rPr>
        <w:t xml:space="preserve"> deberán mantener actualizada y accesible, de forma impresa para consulta directa y en los respectivos sitios de Internet, </w:t>
      </w:r>
      <w:r w:rsidRPr="00B96DFD">
        <w:rPr>
          <w:rFonts w:ascii="Arial" w:hAnsi="Arial" w:cs="Arial"/>
          <w:b/>
          <w:i/>
          <w:color w:val="365F91" w:themeColor="accent1" w:themeShade="BF"/>
          <w:sz w:val="22"/>
          <w:szCs w:val="22"/>
          <w:u w:val="single"/>
        </w:rPr>
        <w:t>la información aplicable del artículo 84 de esta Ley, la señalada en el artículo anterior y la siguiente</w:t>
      </w:r>
      <w:r w:rsidRPr="00B96DFD">
        <w:rPr>
          <w:rFonts w:ascii="Arial" w:hAnsi="Arial" w:cs="Arial"/>
          <w:i/>
          <w:color w:val="365F91" w:themeColor="accent1" w:themeShade="BF"/>
          <w:sz w:val="22"/>
          <w:szCs w:val="22"/>
        </w:rPr>
        <w:t xml:space="preserve">: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I. Contratos y convenios entre sindicatos y autoridades; </w:t>
      </w:r>
    </w:p>
    <w:p w:rsidR="000A0AEC" w:rsidRPr="00B96DFD" w:rsidRDefault="000A0AEC" w:rsidP="000A0AEC">
      <w:pPr>
        <w:spacing w:line="240" w:lineRule="auto"/>
        <w:ind w:left="709" w:firstLine="709"/>
        <w:rPr>
          <w:rFonts w:ascii="Arial" w:hAnsi="Arial" w:cs="Arial"/>
          <w:color w:val="365F91" w:themeColor="accent1" w:themeShade="BF"/>
          <w:sz w:val="22"/>
          <w:szCs w:val="22"/>
        </w:rPr>
      </w:pPr>
      <w:r w:rsidRPr="00B96DFD">
        <w:rPr>
          <w:rFonts w:ascii="Arial" w:hAnsi="Arial" w:cs="Arial"/>
          <w:color w:val="365F91" w:themeColor="accent1" w:themeShade="BF"/>
          <w:sz w:val="22"/>
          <w:szCs w:val="22"/>
        </w:rPr>
        <w:t xml:space="preserve">II. El directorio del Comité Ejecutivo; </w:t>
      </w:r>
    </w:p>
    <w:p w:rsidR="000A0AEC" w:rsidRPr="00B96DFD" w:rsidRDefault="000A0AEC" w:rsidP="000A0AEC">
      <w:pPr>
        <w:spacing w:line="240" w:lineRule="auto"/>
        <w:ind w:left="709" w:firstLine="709"/>
        <w:rPr>
          <w:rFonts w:ascii="Arial" w:hAnsi="Arial" w:cs="Arial"/>
          <w:b/>
          <w:color w:val="365F91" w:themeColor="accent1" w:themeShade="BF"/>
          <w:sz w:val="22"/>
          <w:szCs w:val="22"/>
          <w:u w:val="single"/>
        </w:rPr>
      </w:pPr>
      <w:r w:rsidRPr="00B96DFD">
        <w:rPr>
          <w:rFonts w:ascii="Arial" w:hAnsi="Arial" w:cs="Arial"/>
          <w:color w:val="365F91" w:themeColor="accent1" w:themeShade="BF"/>
          <w:sz w:val="22"/>
          <w:szCs w:val="22"/>
        </w:rPr>
        <w:t>III</w:t>
      </w:r>
      <w:r w:rsidRPr="00B96DFD">
        <w:rPr>
          <w:rFonts w:ascii="Arial" w:hAnsi="Arial" w:cs="Arial"/>
          <w:b/>
          <w:color w:val="365F91" w:themeColor="accent1" w:themeShade="BF"/>
          <w:sz w:val="22"/>
          <w:szCs w:val="22"/>
          <w:u w:val="single"/>
        </w:rPr>
        <w:t xml:space="preserve">. El padrón de socios, y </w:t>
      </w:r>
    </w:p>
    <w:p w:rsidR="000A0AEC" w:rsidRPr="00B96DFD" w:rsidRDefault="000A0AEC" w:rsidP="000A0AEC">
      <w:pPr>
        <w:spacing w:line="240" w:lineRule="auto"/>
        <w:ind w:left="709" w:firstLine="709"/>
        <w:rPr>
          <w:rFonts w:ascii="Arial" w:hAnsi="Arial" w:cs="Arial"/>
          <w:color w:val="365F91" w:themeColor="accent1" w:themeShade="BF"/>
          <w:sz w:val="22"/>
          <w:szCs w:val="22"/>
        </w:rPr>
      </w:pPr>
      <w:r w:rsidRPr="00B96DFD">
        <w:rPr>
          <w:rFonts w:ascii="Arial" w:hAnsi="Arial" w:cs="Arial"/>
          <w:color w:val="365F91" w:themeColor="accent1" w:themeShade="BF"/>
          <w:sz w:val="22"/>
          <w:szCs w:val="22"/>
        </w:rPr>
        <w:t xml:space="preserve">IV. La relación detallada de los recursos públicos económicos, en especie, bienes o donativos que reciban y el informe detallado del ejercicio y destino final de los recursos públicos que ejerzan. </w:t>
      </w:r>
    </w:p>
    <w:p w:rsidR="000A0AEC" w:rsidRPr="00B96DFD" w:rsidRDefault="000A0AEC" w:rsidP="000A0AEC">
      <w:pPr>
        <w:spacing w:line="240" w:lineRule="auto"/>
        <w:ind w:left="709" w:firstLine="709"/>
        <w:rPr>
          <w:rFonts w:ascii="Arial" w:hAnsi="Arial" w:cs="Arial"/>
          <w:i/>
          <w:color w:val="365F91" w:themeColor="accent1" w:themeShade="BF"/>
          <w:sz w:val="22"/>
          <w:szCs w:val="22"/>
        </w:rPr>
      </w:pPr>
      <w:r w:rsidRPr="00B96DFD">
        <w:rPr>
          <w:rFonts w:ascii="Arial" w:hAnsi="Arial" w:cs="Arial"/>
          <w:i/>
          <w:color w:val="365F91" w:themeColor="accent1" w:themeShade="BF"/>
          <w:sz w:val="22"/>
          <w:szCs w:val="22"/>
        </w:rPr>
        <w:t xml:space="preserve">Por lo que se refiere a los documentos que obran en el Expediente de registro de las asociaciones, únicamente estará clasificada como información confidencial, los domicilios de los trabajadores señalados en los padrones de socios. </w:t>
      </w:r>
    </w:p>
    <w:p w:rsidR="000A0AEC" w:rsidRPr="00B96DFD" w:rsidRDefault="000A0AEC" w:rsidP="000A0AEC">
      <w:pPr>
        <w:spacing w:line="240" w:lineRule="auto"/>
        <w:ind w:left="709" w:firstLine="709"/>
        <w:rPr>
          <w:rFonts w:ascii="Arial" w:eastAsiaTheme="minorHAnsi" w:hAnsi="Arial" w:cs="Arial"/>
          <w:i/>
          <w:color w:val="365F91" w:themeColor="accent1" w:themeShade="BF"/>
          <w:sz w:val="22"/>
          <w:szCs w:val="22"/>
          <w:lang w:val="es-MX" w:eastAsia="en-US"/>
        </w:rPr>
      </w:pPr>
      <w:r w:rsidRPr="00B96DFD">
        <w:rPr>
          <w:rFonts w:ascii="Arial" w:hAnsi="Arial" w:cs="Arial"/>
          <w:i/>
          <w:color w:val="365F91" w:themeColor="accent1" w:themeShade="BF"/>
          <w:sz w:val="22"/>
          <w:szCs w:val="22"/>
        </w:rPr>
        <w:t>Los sujetos obligados que asignen recursos públicos a los sindicatos, deberán habilitar un espacio en sus páginas de internet para que éstos cumplan con sus obligaciones de transparencia y dispongan de la infraestructura tecnológica para el uso y acceso a la Plataforma Nacional. En todo momento el sindicato será el responsable de la publicación, actualización y accesibilidad de la información.</w:t>
      </w:r>
    </w:p>
    <w:p w:rsidR="000A0AEC" w:rsidRPr="00B96DFD" w:rsidRDefault="000A0AEC" w:rsidP="000A0AEC">
      <w:pPr>
        <w:rPr>
          <w:rFonts w:ascii="Arial" w:hAnsi="Arial" w:cs="Arial"/>
          <w:color w:val="365F91" w:themeColor="accent1" w:themeShade="BF"/>
        </w:rPr>
      </w:pPr>
    </w:p>
    <w:p w:rsidR="00CA272D" w:rsidRPr="00B96DFD" w:rsidRDefault="000A0AEC" w:rsidP="000A0AEC">
      <w:pPr>
        <w:rPr>
          <w:rFonts w:ascii="Arial" w:hAnsi="Arial" w:cs="Arial"/>
          <w:color w:val="365F91" w:themeColor="accent1" w:themeShade="BF"/>
        </w:rPr>
      </w:pPr>
      <w:r w:rsidRPr="00B96DFD">
        <w:rPr>
          <w:rFonts w:ascii="Arial" w:hAnsi="Arial" w:cs="Arial"/>
          <w:color w:val="365F91" w:themeColor="accent1" w:themeShade="BF"/>
        </w:rPr>
        <w:tab/>
        <w:t>Conforme a la normativa anterior, existe, por parte de los sindicatos que ejerzan y reciban recurso públic</w:t>
      </w:r>
      <w:r w:rsidR="001D21CF" w:rsidRPr="00B96DFD">
        <w:rPr>
          <w:rFonts w:ascii="Arial" w:hAnsi="Arial" w:cs="Arial"/>
          <w:color w:val="365F91" w:themeColor="accent1" w:themeShade="BF"/>
        </w:rPr>
        <w:t xml:space="preserve">o, la obligación de </w:t>
      </w:r>
      <w:r w:rsidR="00CA272D" w:rsidRPr="00B96DFD">
        <w:rPr>
          <w:rFonts w:ascii="Arial" w:hAnsi="Arial" w:cs="Arial"/>
          <w:color w:val="365F91" w:themeColor="accent1" w:themeShade="BF"/>
        </w:rPr>
        <w:t xml:space="preserve">generar y </w:t>
      </w:r>
      <w:r w:rsidR="001D21CF" w:rsidRPr="00B96DFD">
        <w:rPr>
          <w:rFonts w:ascii="Arial" w:hAnsi="Arial" w:cs="Arial"/>
          <w:color w:val="365F91" w:themeColor="accent1" w:themeShade="BF"/>
        </w:rPr>
        <w:t>publicar</w:t>
      </w:r>
      <w:r w:rsidRPr="00B96DFD">
        <w:rPr>
          <w:rFonts w:ascii="Arial" w:hAnsi="Arial" w:cs="Arial"/>
          <w:color w:val="365F91" w:themeColor="accent1" w:themeShade="BF"/>
        </w:rPr>
        <w:t xml:space="preserve"> el padrón de socios, es decir, la información que </w:t>
      </w:r>
      <w:r w:rsidR="00CA272D" w:rsidRPr="00B96DFD">
        <w:rPr>
          <w:rFonts w:ascii="Arial" w:hAnsi="Arial" w:cs="Arial"/>
          <w:color w:val="365F91" w:themeColor="accent1" w:themeShade="BF"/>
        </w:rPr>
        <w:t xml:space="preserve">en el caso concreto </w:t>
      </w:r>
      <w:r w:rsidRPr="00B96DFD">
        <w:rPr>
          <w:rFonts w:ascii="Arial" w:hAnsi="Arial" w:cs="Arial"/>
          <w:color w:val="365F91" w:themeColor="accent1" w:themeShade="BF"/>
        </w:rPr>
        <w:t xml:space="preserve">el particular solicitó; por ello, </w:t>
      </w:r>
      <w:r w:rsidR="001D21CF" w:rsidRPr="00B96DFD">
        <w:rPr>
          <w:rFonts w:ascii="Arial" w:hAnsi="Arial" w:cs="Arial"/>
          <w:color w:val="365F91" w:themeColor="accent1" w:themeShade="BF"/>
        </w:rPr>
        <w:t xml:space="preserve">tal y como señaló el sujeto obligado, </w:t>
      </w:r>
      <w:r w:rsidR="00CA272D" w:rsidRPr="00B96DFD">
        <w:rPr>
          <w:rFonts w:ascii="Arial" w:hAnsi="Arial" w:cs="Arial"/>
          <w:color w:val="365F91" w:themeColor="accent1" w:themeShade="BF"/>
        </w:rPr>
        <w:t xml:space="preserve">el Sindicato por ministerio de Ley tiene la obligación de tener dicho padrón, en los términos que señala el aquí inconforme. </w:t>
      </w:r>
    </w:p>
    <w:p w:rsidR="00CA272D" w:rsidRPr="00B96DFD" w:rsidRDefault="00CA272D" w:rsidP="00CA272D">
      <w:pPr>
        <w:rPr>
          <w:rFonts w:ascii="Arial" w:hAnsi="Arial" w:cs="Arial"/>
          <w:color w:val="365F91" w:themeColor="accent1" w:themeShade="BF"/>
          <w:szCs w:val="26"/>
        </w:rPr>
      </w:pPr>
      <w:r w:rsidRPr="00B96DFD">
        <w:rPr>
          <w:rFonts w:ascii="Arial" w:hAnsi="Arial" w:cs="Arial"/>
          <w:color w:val="365F91" w:themeColor="accent1" w:themeShade="BF"/>
        </w:rPr>
        <w:tab/>
        <w:t xml:space="preserve">No obstante lo anterior, la Universidad Tecnológica </w:t>
      </w:r>
      <w:r w:rsidRPr="00B96DFD">
        <w:rPr>
          <w:rFonts w:ascii="Arial" w:hAnsi="Arial" w:cs="Arial"/>
          <w:color w:val="365F91" w:themeColor="accent1" w:themeShade="BF"/>
          <w:szCs w:val="26"/>
        </w:rPr>
        <w:t xml:space="preserve">de conformidad con los artículos 18 y 19 de la Ley de Transparencia y Acceso a la Información Pública del Estado, el ejercicio de las atribuciones, competencias y funciones de los sujetos obligados debe ser documentado, y además, si se refiere a la esfera de competencia del sujeto obligado, se presume que existe un medio documental que respalde y de constancia de la actuación de la autoridad; es por ello, que la autoridad, al momento de </w:t>
      </w:r>
      <w:r w:rsidRPr="00B96DFD">
        <w:rPr>
          <w:rFonts w:ascii="Arial" w:hAnsi="Arial" w:cs="Arial"/>
          <w:color w:val="365F91" w:themeColor="accent1" w:themeShade="BF"/>
          <w:szCs w:val="26"/>
        </w:rPr>
        <w:lastRenderedPageBreak/>
        <w:t>recibir una solicitud de información, debe efectuar un proceso de adecuación normativa, entendido como aquel razonamiento lógico jurídico por el que se determina de manera fundada y motivada si existen condiciones que presuman su generación o posesión, lo cual aunado a que uno de los principios constitucionales que regulan la actuación de la autoridad es el de seguridad jurídica, modulado a esta materia implica que el Instituto funde y motive su actuación al momento de otorgar respuesta, sin que tal obligación se vea trasladada a este Órgano Garante, tal y como lo estableció el Comité Jurídico Interamericano en la resolución sobre los  “Principios sobre el Derecho de Acceso a la Información” la carga de la prueba para justificar cualquier negativa de acceso debe recaer en el órgano al cual fue solicitada, y así también debe asegurar la difusión de información sobre sus funciones y actividades, ya que de otra forma se correría el riesgo de que las autoridades pretendan eludir su obligación al dejarle a esta Comisión la carga de probar y determinar si deben generar o no la información</w:t>
      </w:r>
    </w:p>
    <w:p w:rsidR="000320CA" w:rsidRPr="00B96DFD" w:rsidRDefault="00CA272D" w:rsidP="000320CA">
      <w:pPr>
        <w:spacing w:before="240"/>
        <w:ind w:firstLine="708"/>
        <w:rPr>
          <w:rFonts w:ascii="Arial" w:hAnsi="Arial" w:cs="Arial"/>
          <w:color w:val="365F91" w:themeColor="accent1" w:themeShade="BF"/>
          <w:lang w:val="es-MX"/>
        </w:rPr>
      </w:pPr>
      <w:r w:rsidRPr="00B96DFD">
        <w:rPr>
          <w:rFonts w:ascii="Arial" w:hAnsi="Arial" w:cs="Arial"/>
          <w:color w:val="365F91" w:themeColor="accent1" w:themeShade="BF"/>
          <w:szCs w:val="26"/>
        </w:rPr>
        <w:t>Todo lo anterior, trae consigo, con base en el principio de legalidad, que debe fundarse y motivarse de tal manera que se permita determinar el marco jurídico que regula la vida misma de la autoridad de manera focalizada a la solicitud, y es por ello que tal delimitación debe realizarse en estricto apego a la garantía que reconoce el artículo 16 de la Carta Magna, ya que del listado proporcionado por la autoridad se advierte</w:t>
      </w:r>
      <w:r w:rsidR="000320CA" w:rsidRPr="00B96DFD">
        <w:rPr>
          <w:rFonts w:ascii="Arial" w:hAnsi="Arial" w:cs="Arial"/>
          <w:color w:val="365F91" w:themeColor="accent1" w:themeShade="BF"/>
          <w:szCs w:val="26"/>
        </w:rPr>
        <w:t xml:space="preserve"> el personal al que se descuenta cuota sindical la UTSLP, pero lo cierto es que no hace mención, ni tampoco así alude el nombre del sindicato al cual pertenecen los afiliados a los que se le realizan descuentos por medio de nómina, lo cual podría generar confusión al aquí inconforme, dado que el requirió información respecto del Sindicato Nacional de Empleados y Trabajadores Docentes Técnicos </w:t>
      </w:r>
      <w:proofErr w:type="spellStart"/>
      <w:r w:rsidR="000320CA" w:rsidRPr="00B96DFD">
        <w:rPr>
          <w:rFonts w:ascii="Arial" w:hAnsi="Arial" w:cs="Arial"/>
          <w:color w:val="365F91" w:themeColor="accent1" w:themeShade="BF"/>
          <w:szCs w:val="26"/>
        </w:rPr>
        <w:t>Admvos</w:t>
      </w:r>
      <w:proofErr w:type="spellEnd"/>
      <w:r w:rsidR="000320CA" w:rsidRPr="00B96DFD">
        <w:rPr>
          <w:rFonts w:ascii="Arial" w:hAnsi="Arial" w:cs="Arial"/>
          <w:color w:val="365F91" w:themeColor="accent1" w:themeShade="BF"/>
          <w:szCs w:val="26"/>
        </w:rPr>
        <w:t xml:space="preserve">. CTM y que de manera reiterada señaló el sujeto obligado no contar con el padrón de trabajadores afiliados a dicho sindicato, por lo que esta comisión, </w:t>
      </w:r>
      <w:r w:rsidR="000A0AEC" w:rsidRPr="00B96DFD">
        <w:rPr>
          <w:rFonts w:ascii="Arial" w:hAnsi="Arial" w:cs="Arial"/>
          <w:color w:val="365F91" w:themeColor="accent1" w:themeShade="BF"/>
          <w:lang w:val="es-MX"/>
        </w:rPr>
        <w:t>con fundamento en lo dispuesto p</w:t>
      </w:r>
      <w:r w:rsidR="000320CA" w:rsidRPr="00B96DFD">
        <w:rPr>
          <w:rFonts w:ascii="Arial" w:hAnsi="Arial" w:cs="Arial"/>
          <w:color w:val="365F91" w:themeColor="accent1" w:themeShade="BF"/>
          <w:lang w:val="es-MX"/>
        </w:rPr>
        <w:t>or el artículo 175, fracción II</w:t>
      </w:r>
      <w:r w:rsidR="000A0AEC" w:rsidRPr="00B96DFD">
        <w:rPr>
          <w:rFonts w:ascii="Arial" w:hAnsi="Arial" w:cs="Arial"/>
          <w:color w:val="365F91" w:themeColor="accent1" w:themeShade="BF"/>
          <w:lang w:val="es-MX"/>
        </w:rPr>
        <w:t xml:space="preserve">, de la Ley de Transparencia y Acceso a la </w:t>
      </w:r>
      <w:r w:rsidR="000A0AEC" w:rsidRPr="00B96DFD">
        <w:rPr>
          <w:rFonts w:ascii="Arial" w:hAnsi="Arial" w:cs="Arial"/>
          <w:color w:val="365F91" w:themeColor="accent1" w:themeShade="BF"/>
          <w:lang w:val="es-MX"/>
        </w:rPr>
        <w:lastRenderedPageBreak/>
        <w:t xml:space="preserve">Información Pública del Estado, </w:t>
      </w:r>
      <w:r w:rsidR="000320CA" w:rsidRPr="00B96DFD">
        <w:rPr>
          <w:rFonts w:ascii="Arial" w:hAnsi="Arial" w:cs="Arial"/>
          <w:b/>
          <w:color w:val="365F91" w:themeColor="accent1" w:themeShade="BF"/>
          <w:lang w:val="es-MX"/>
        </w:rPr>
        <w:t>modifica</w:t>
      </w:r>
      <w:r w:rsidR="000A0AEC" w:rsidRPr="00B96DFD">
        <w:rPr>
          <w:rFonts w:ascii="Arial" w:hAnsi="Arial" w:cs="Arial"/>
          <w:b/>
          <w:color w:val="365F91" w:themeColor="accent1" w:themeShade="BF"/>
          <w:lang w:val="es-MX"/>
        </w:rPr>
        <w:t xml:space="preserve"> </w:t>
      </w:r>
      <w:r w:rsidR="000A0AEC" w:rsidRPr="00B96DFD">
        <w:rPr>
          <w:rFonts w:ascii="Arial" w:hAnsi="Arial" w:cs="Arial"/>
          <w:color w:val="365F91" w:themeColor="accent1" w:themeShade="BF"/>
          <w:lang w:val="es-MX"/>
        </w:rPr>
        <w:t>el acto impugnado, para efectos de que el sujeto obligado:</w:t>
      </w:r>
    </w:p>
    <w:p w:rsidR="000320CA" w:rsidRPr="00B96DFD" w:rsidRDefault="000320CA" w:rsidP="000320CA">
      <w:pPr>
        <w:spacing w:before="240"/>
        <w:ind w:firstLine="708"/>
        <w:rPr>
          <w:rFonts w:ascii="Arial" w:hAnsi="Arial" w:cs="Arial"/>
          <w:i/>
          <w:color w:val="365F91" w:themeColor="accent1" w:themeShade="BF"/>
          <w:lang w:val="es-MX"/>
        </w:rPr>
      </w:pPr>
      <w:r w:rsidRPr="00B96DFD">
        <w:rPr>
          <w:rFonts w:ascii="Arial" w:hAnsi="Arial" w:cs="Arial"/>
          <w:i/>
          <w:color w:val="365F91" w:themeColor="accent1" w:themeShade="BF"/>
          <w:lang w:val="es-MX"/>
        </w:rPr>
        <w:t xml:space="preserve">a) Señale el nombre del sindicato al que pertenece el personal al que se le descuenta cuota sindical.  </w:t>
      </w:r>
    </w:p>
    <w:p w:rsidR="000320CA" w:rsidRPr="00B96DFD" w:rsidRDefault="000320CA" w:rsidP="000320CA">
      <w:pPr>
        <w:spacing w:before="240"/>
        <w:ind w:firstLine="708"/>
        <w:rPr>
          <w:rFonts w:ascii="Arial" w:hAnsi="Arial" w:cs="Arial"/>
          <w:i/>
          <w:color w:val="365F91" w:themeColor="accent1" w:themeShade="BF"/>
          <w:lang w:val="es-MX"/>
        </w:rPr>
      </w:pPr>
      <w:r w:rsidRPr="00B96DFD">
        <w:rPr>
          <w:rFonts w:ascii="Arial" w:hAnsi="Arial" w:cs="Arial"/>
          <w:i/>
          <w:color w:val="365F91" w:themeColor="accent1" w:themeShade="BF"/>
          <w:lang w:val="es-MX"/>
        </w:rPr>
        <w:t xml:space="preserve">b) </w:t>
      </w:r>
      <w:r w:rsidR="00752887" w:rsidRPr="00B96DFD">
        <w:rPr>
          <w:rFonts w:ascii="Arial" w:hAnsi="Arial" w:cs="Arial"/>
          <w:i/>
          <w:color w:val="365F91" w:themeColor="accent1" w:themeShade="BF"/>
          <w:lang w:val="es-MX"/>
        </w:rPr>
        <w:t xml:space="preserve">Con base a la solicitud de información, entregue el padrón de beneficiarios que </w:t>
      </w:r>
      <w:r w:rsidR="00730FD6" w:rsidRPr="00B96DFD">
        <w:rPr>
          <w:rFonts w:ascii="Arial" w:hAnsi="Arial" w:cs="Arial"/>
          <w:i/>
          <w:color w:val="365F91" w:themeColor="accent1" w:themeShade="BF"/>
          <w:lang w:val="es-MX"/>
        </w:rPr>
        <w:t>pertenecen al</w:t>
      </w:r>
      <w:r w:rsidR="007B477F" w:rsidRPr="00B96DFD">
        <w:rPr>
          <w:rFonts w:ascii="Arial" w:hAnsi="Arial" w:cs="Arial"/>
          <w:i/>
          <w:color w:val="365F91" w:themeColor="accent1" w:themeShade="BF"/>
          <w:lang w:val="es-MX"/>
        </w:rPr>
        <w:t xml:space="preserve"> sindicato</w:t>
      </w:r>
      <w:r w:rsidR="00752887" w:rsidRPr="00B96DFD">
        <w:rPr>
          <w:rFonts w:ascii="Arial" w:hAnsi="Arial" w:cs="Arial"/>
          <w:i/>
          <w:color w:val="365F91" w:themeColor="accent1" w:themeShade="BF"/>
          <w:lang w:val="es-MX"/>
        </w:rPr>
        <w:t xml:space="preserve">, en lo que respecta únicamente a la Universidad Tecnológica. </w:t>
      </w:r>
    </w:p>
    <w:p w:rsidR="00752887" w:rsidRPr="00B96DFD" w:rsidRDefault="00752887" w:rsidP="000320CA">
      <w:pPr>
        <w:spacing w:before="240"/>
        <w:ind w:firstLine="708"/>
        <w:rPr>
          <w:rFonts w:ascii="Arial" w:hAnsi="Arial" w:cs="Arial"/>
          <w:i/>
          <w:color w:val="365F91" w:themeColor="accent1" w:themeShade="BF"/>
          <w:lang w:val="es-MX"/>
        </w:rPr>
      </w:pPr>
      <w:r w:rsidRPr="00B96DFD">
        <w:rPr>
          <w:rFonts w:ascii="Arial" w:hAnsi="Arial" w:cs="Arial"/>
          <w:i/>
          <w:color w:val="365F91" w:themeColor="accent1" w:themeShade="BF"/>
          <w:lang w:val="es-MX"/>
        </w:rPr>
        <w:t xml:space="preserve">c) Señalar nombre y puesto de cada trabajador afiliado. </w:t>
      </w:r>
    </w:p>
    <w:p w:rsidR="00752887" w:rsidRPr="00B96DFD" w:rsidRDefault="00752887" w:rsidP="000A0AEC">
      <w:pPr>
        <w:ind w:firstLine="708"/>
        <w:rPr>
          <w:rFonts w:ascii="Arial" w:eastAsia="Arial Unicode MS" w:hAnsi="Arial" w:cs="Arial"/>
          <w:color w:val="365F91" w:themeColor="accent1" w:themeShade="BF"/>
        </w:rPr>
      </w:pPr>
    </w:p>
    <w:p w:rsidR="000A0AEC" w:rsidRPr="00B96DFD" w:rsidRDefault="000A0AEC" w:rsidP="000A0AEC">
      <w:pPr>
        <w:ind w:firstLine="708"/>
        <w:rPr>
          <w:rFonts w:ascii="Arial" w:hAnsi="Arial" w:cs="Arial"/>
          <w:color w:val="365F91" w:themeColor="accent1" w:themeShade="BF"/>
          <w:szCs w:val="26"/>
          <w:lang w:eastAsia="es-MX"/>
        </w:rPr>
      </w:pPr>
      <w:r w:rsidRPr="00B96DFD">
        <w:rPr>
          <w:rFonts w:ascii="Arial" w:eastAsia="Arial Unicode MS" w:hAnsi="Arial" w:cs="Arial"/>
          <w:color w:val="365F91" w:themeColor="accent1" w:themeShade="BF"/>
        </w:rPr>
        <w:t>Para efectos del cumplimiento de la presente resolución resulta pertinente tomar en cuenta las siguientes precisiones:</w:t>
      </w:r>
      <w:r w:rsidRPr="00B96DFD">
        <w:rPr>
          <w:rFonts w:ascii="Arial" w:hAnsi="Arial" w:cs="Arial"/>
          <w:color w:val="365F91" w:themeColor="accent1" w:themeShade="BF"/>
          <w:szCs w:val="26"/>
          <w:lang w:eastAsia="es-MX"/>
        </w:rPr>
        <w:t> </w:t>
      </w:r>
    </w:p>
    <w:p w:rsidR="000A0AEC" w:rsidRPr="00B96DFD" w:rsidRDefault="000A0AEC" w:rsidP="000A0AEC">
      <w:pPr>
        <w:spacing w:before="240" w:after="240"/>
        <w:ind w:firstLine="708"/>
        <w:rPr>
          <w:rFonts w:ascii="Arial" w:hAnsi="Arial" w:cs="Arial"/>
          <w:b/>
          <w:color w:val="365F91" w:themeColor="accent1" w:themeShade="BF"/>
        </w:rPr>
      </w:pPr>
      <w:r w:rsidRPr="00B96DFD">
        <w:rPr>
          <w:rFonts w:ascii="Arial" w:hAnsi="Arial" w:cs="Arial"/>
          <w:color w:val="365F91" w:themeColor="accent1" w:themeShade="BF"/>
        </w:rPr>
        <w:t xml:space="preserve">Con fundamento en los artículos 175, último párrafo y 183 de la Ley de Transparencia y Acceso a la Información Pública del Estado, se le concede al ente obligado el término de </w:t>
      </w:r>
      <w:r w:rsidRPr="00B96DFD">
        <w:rPr>
          <w:rFonts w:ascii="Arial" w:hAnsi="Arial" w:cs="Arial"/>
          <w:b/>
          <w:color w:val="365F91" w:themeColor="accent1" w:themeShade="BF"/>
        </w:rPr>
        <w:t xml:space="preserve">10 diez días, </w:t>
      </w:r>
      <w:r w:rsidRPr="00B96DFD">
        <w:rPr>
          <w:rFonts w:ascii="Arial" w:hAnsi="Arial" w:cs="Arial"/>
          <w:b/>
          <w:bCs/>
          <w:color w:val="365F91" w:themeColor="accent1" w:themeShade="BF"/>
          <w:szCs w:val="26"/>
          <w:lang w:val="es-MX" w:eastAsia="es-MX"/>
        </w:rPr>
        <w:t>contados a partir del día siguiente de su notificación,</w:t>
      </w:r>
      <w:r w:rsidRPr="00B96DFD">
        <w:rPr>
          <w:rFonts w:ascii="Arial" w:hAnsi="Arial" w:cs="Arial"/>
          <w:b/>
          <w:color w:val="365F91" w:themeColor="accent1" w:themeShade="BF"/>
        </w:rPr>
        <w:t xml:space="preserve"> para que </w:t>
      </w:r>
      <w:r w:rsidR="007B477F" w:rsidRPr="00B96DFD">
        <w:rPr>
          <w:rFonts w:ascii="Arial" w:hAnsi="Arial" w:cs="Arial"/>
          <w:b/>
          <w:color w:val="365F91" w:themeColor="accent1" w:themeShade="BF"/>
        </w:rPr>
        <w:t>dé</w:t>
      </w:r>
      <w:r w:rsidRPr="00B96DFD">
        <w:rPr>
          <w:rFonts w:ascii="Arial" w:hAnsi="Arial" w:cs="Arial"/>
          <w:b/>
          <w:color w:val="365F91" w:themeColor="accent1" w:themeShade="BF"/>
        </w:rPr>
        <w:t xml:space="preserve"> cumplimiento a lo ordenado en la presente resolución.</w:t>
      </w:r>
    </w:p>
    <w:p w:rsidR="000A0AEC" w:rsidRPr="00B96DFD" w:rsidRDefault="000A0AEC" w:rsidP="000A0AEC">
      <w:pPr>
        <w:rPr>
          <w:rFonts w:ascii="Arial" w:hAnsi="Arial" w:cs="Arial"/>
          <w:color w:val="365F91" w:themeColor="accent1" w:themeShade="BF"/>
        </w:rPr>
      </w:pPr>
      <w:r w:rsidRPr="00B96DFD">
        <w:rPr>
          <w:rFonts w:ascii="Arial" w:hAnsi="Arial" w:cs="Arial"/>
          <w:color w:val="365F91" w:themeColor="accent1" w:themeShade="BF"/>
        </w:rPr>
        <w:tab/>
        <w:t>Se estima el plazo de 10 diez días, puesto que el sujeto obligado deberá realizar la gestión de la solicitud de información pública lo que resulta análogo a lo dispuesto por el artículo 154 de la Ley de Transparencia del Estado.</w:t>
      </w:r>
    </w:p>
    <w:p w:rsidR="000A0AEC" w:rsidRPr="00B96DFD" w:rsidRDefault="000A0AEC" w:rsidP="000A0AEC">
      <w:pPr>
        <w:shd w:val="clear" w:color="auto" w:fill="FFFFFF"/>
        <w:spacing w:before="240"/>
        <w:ind w:firstLine="708"/>
        <w:rPr>
          <w:rFonts w:ascii="Arial" w:hAnsi="Arial" w:cs="Arial"/>
          <w:bCs/>
          <w:color w:val="365F91" w:themeColor="accent1" w:themeShade="BF"/>
          <w:szCs w:val="26"/>
          <w:lang w:val="es-MX" w:eastAsia="es-MX"/>
        </w:rPr>
      </w:pPr>
      <w:r w:rsidRPr="00B96DFD">
        <w:rPr>
          <w:rFonts w:ascii="Arial" w:hAnsi="Arial" w:cs="Arial"/>
          <w:bCs/>
          <w:color w:val="365F91" w:themeColor="accent1" w:themeShade="BF"/>
          <w:szCs w:val="26"/>
          <w:lang w:val="es-MX" w:eastAsia="es-MX"/>
        </w:rPr>
        <w:t>Se hace del conocimiento del sujeto obligado que</w:t>
      </w:r>
      <w:r w:rsidRPr="00B96DFD">
        <w:rPr>
          <w:rFonts w:ascii="Arial" w:hAnsi="Arial" w:cs="Arial"/>
          <w:b/>
          <w:bCs/>
          <w:color w:val="365F91" w:themeColor="accent1" w:themeShade="BF"/>
          <w:szCs w:val="26"/>
          <w:lang w:val="es-MX" w:eastAsia="es-MX"/>
        </w:rPr>
        <w:t xml:space="preserve"> la presente resolución causa ejecutoría al momento de su aprobación, </w:t>
      </w:r>
      <w:r w:rsidRPr="00B96DFD">
        <w:rPr>
          <w:rFonts w:ascii="Arial" w:hAnsi="Arial" w:cs="Arial"/>
          <w:bCs/>
          <w:color w:val="365F91" w:themeColor="accent1" w:themeShade="BF"/>
          <w:szCs w:val="26"/>
          <w:lang w:val="es-MX" w:eastAsia="es-MX"/>
        </w:rPr>
        <w:t xml:space="preserve">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0A0AEC" w:rsidRPr="00B96DFD" w:rsidRDefault="000A0AEC" w:rsidP="000A0AEC">
      <w:pPr>
        <w:shd w:val="clear" w:color="auto" w:fill="FFFFFF"/>
        <w:spacing w:before="240"/>
        <w:ind w:firstLine="708"/>
        <w:rPr>
          <w:rFonts w:ascii="Arial" w:hAnsi="Arial" w:cs="Arial"/>
          <w:b/>
          <w:bCs/>
          <w:color w:val="365F91" w:themeColor="accent1" w:themeShade="BF"/>
          <w:szCs w:val="26"/>
          <w:lang w:val="es-MX" w:eastAsia="es-MX"/>
        </w:rPr>
      </w:pPr>
      <w:r w:rsidRPr="00B96DFD">
        <w:rPr>
          <w:rFonts w:ascii="Arial" w:hAnsi="Arial" w:cs="Arial"/>
          <w:b/>
          <w:bCs/>
          <w:color w:val="365F91" w:themeColor="accent1" w:themeShade="BF"/>
          <w:szCs w:val="26"/>
          <w:lang w:val="es-MX" w:eastAsia="es-MX"/>
        </w:rPr>
        <w:t xml:space="preserve">Una vez concluido dicho plazo, </w:t>
      </w:r>
      <w:r w:rsidRPr="00B96DFD">
        <w:rPr>
          <w:rFonts w:ascii="Arial" w:hAnsi="Arial" w:cs="Arial"/>
          <w:color w:val="365F91" w:themeColor="accent1" w:themeShade="BF"/>
          <w:szCs w:val="26"/>
          <w:lang w:val="es-MX" w:eastAsia="es-MX"/>
        </w:rPr>
        <w:t>dentro de los 03 tres días hábiles siguientes, deberá</w:t>
      </w:r>
      <w:r w:rsidRPr="00B96DFD">
        <w:rPr>
          <w:rFonts w:ascii="Arial" w:hAnsi="Arial" w:cs="Arial"/>
          <w:b/>
          <w:bCs/>
          <w:color w:val="365F91" w:themeColor="accent1" w:themeShade="BF"/>
          <w:szCs w:val="26"/>
          <w:lang w:val="es-MX" w:eastAsia="es-MX"/>
        </w:rPr>
        <w:t xml:space="preserve"> </w:t>
      </w:r>
      <w:r w:rsidRPr="00B96DFD">
        <w:rPr>
          <w:rFonts w:ascii="Arial" w:hAnsi="Arial" w:cs="Arial"/>
          <w:color w:val="365F91" w:themeColor="accent1" w:themeShade="BF"/>
          <w:szCs w:val="26"/>
          <w:lang w:val="es-MX" w:eastAsia="es-MX"/>
        </w:rPr>
        <w:t>informar el cumplimiento al presente fallo con los documentos fehacientes</w:t>
      </w:r>
      <w:r w:rsidRPr="00B96DFD">
        <w:rPr>
          <w:rFonts w:ascii="Arial" w:hAnsi="Arial" w:cs="Arial"/>
          <w:color w:val="365F91" w:themeColor="accent1" w:themeShade="BF"/>
          <w:lang w:val="es-MX" w:eastAsia="es-MX"/>
        </w:rPr>
        <w:t> </w:t>
      </w:r>
      <w:r w:rsidRPr="00B96DFD">
        <w:rPr>
          <w:rFonts w:ascii="Arial" w:hAnsi="Arial" w:cs="Arial"/>
          <w:b/>
          <w:bCs/>
          <w:color w:val="365F91" w:themeColor="accent1" w:themeShade="BF"/>
          <w:szCs w:val="26"/>
          <w:lang w:val="es-MX" w:eastAsia="es-MX"/>
        </w:rPr>
        <w:t xml:space="preserve">(originales o copia certificada de documentos </w:t>
      </w:r>
      <w:r w:rsidRPr="00B96DFD">
        <w:rPr>
          <w:rFonts w:ascii="Arial" w:hAnsi="Arial" w:cs="Arial"/>
          <w:b/>
          <w:bCs/>
          <w:color w:val="365F91" w:themeColor="accent1" w:themeShade="BF"/>
          <w:szCs w:val="26"/>
          <w:lang w:val="es-MX" w:eastAsia="es-MX"/>
        </w:rPr>
        <w:lastRenderedPageBreak/>
        <w:t>y bandeja de salida del correo electrónico),</w:t>
      </w:r>
      <w:r w:rsidRPr="00B96DFD">
        <w:rPr>
          <w:rFonts w:ascii="Arial" w:hAnsi="Arial" w:cs="Arial"/>
          <w:color w:val="365F91" w:themeColor="accent1" w:themeShade="BF"/>
          <w:lang w:val="es-MX" w:eastAsia="es-MX"/>
        </w:rPr>
        <w:t> </w:t>
      </w:r>
      <w:r w:rsidRPr="00B96DFD">
        <w:rPr>
          <w:rFonts w:ascii="Arial" w:hAnsi="Arial" w:cs="Arial"/>
          <w:color w:val="365F91" w:themeColor="accent1" w:themeShade="BF"/>
          <w:szCs w:val="26"/>
          <w:lang w:val="es-MX" w:eastAsia="es-MX"/>
        </w:rPr>
        <w:t>con fundamento en los artículos 177 y 184 de la Ley de Transparencia y Acceso a la Información Pública</w:t>
      </w:r>
      <w:r w:rsidRPr="00B96DFD">
        <w:rPr>
          <w:rFonts w:ascii="Arial" w:hAnsi="Arial" w:cs="Arial"/>
          <w:color w:val="365F91" w:themeColor="accent1" w:themeShade="BF"/>
          <w:lang w:val="es-MX" w:eastAsia="es-MX"/>
        </w:rPr>
        <w:t> </w:t>
      </w:r>
      <w:r w:rsidRPr="00B96DFD">
        <w:rPr>
          <w:rFonts w:ascii="Arial" w:hAnsi="Arial" w:cs="Arial"/>
          <w:b/>
          <w:bCs/>
          <w:color w:val="365F91" w:themeColor="accent1" w:themeShade="BF"/>
          <w:szCs w:val="26"/>
          <w:lang w:val="es-MX" w:eastAsia="es-MX"/>
        </w:rPr>
        <w:t>y en caso de no cumplir con esta resolución se dará vista con la denuncia correspondiente al Órgano de Control Interno o a quien resulte competente para integrar y sustanciar el procedimiento sancionatorio por incurrir en posibles actos que actualicen la hipótesis contenida en el artículo 197, fracción XV, de la Ley de Transparencia y Acceso a la información Pública del Estado. Lo anterior, sin perjuicio de que esta Comisión realice lo necesario para que se dé el debido cumplimiento a la presente resolución.</w:t>
      </w:r>
    </w:p>
    <w:p w:rsidR="000A0AEC" w:rsidRPr="00B96DFD" w:rsidRDefault="000A0AEC" w:rsidP="000A0AEC">
      <w:pPr>
        <w:spacing w:before="240"/>
        <w:rPr>
          <w:rFonts w:ascii="Arial" w:hAnsi="Arial" w:cs="Arial"/>
          <w:color w:val="365F91" w:themeColor="accent1" w:themeShade="BF"/>
          <w:szCs w:val="26"/>
          <w:u w:val="single"/>
          <w:lang w:val="es-MX" w:eastAsia="es-MX"/>
        </w:rPr>
      </w:pPr>
      <w:r w:rsidRPr="00B96DFD">
        <w:rPr>
          <w:rFonts w:ascii="Arial" w:hAnsi="Arial" w:cs="Arial"/>
          <w:bCs/>
          <w:color w:val="365F91" w:themeColor="accent1" w:themeShade="BF"/>
          <w:szCs w:val="26"/>
          <w:lang w:val="es-MX" w:eastAsia="es-MX"/>
        </w:rPr>
        <w:tab/>
      </w:r>
      <w:r w:rsidRPr="00B96DFD">
        <w:rPr>
          <w:rFonts w:ascii="Arial" w:hAnsi="Arial" w:cs="Arial"/>
          <w:bCs/>
          <w:color w:val="365F91" w:themeColor="accent1" w:themeShade="BF"/>
          <w:szCs w:val="26"/>
          <w:u w:val="single"/>
          <w:lang w:val="es-MX" w:eastAsia="es-MX"/>
        </w:rPr>
        <w:t>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resulten pertinentes.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0A0AEC" w:rsidRPr="00B96DFD" w:rsidRDefault="000A0AEC" w:rsidP="000A0AEC">
      <w:pPr>
        <w:shd w:val="clear" w:color="auto" w:fill="FFFFFF"/>
        <w:spacing w:before="100" w:beforeAutospacing="1" w:after="100" w:afterAutospacing="1"/>
        <w:ind w:firstLine="708"/>
        <w:rPr>
          <w:rFonts w:ascii="Arial" w:hAnsi="Arial" w:cs="Arial"/>
          <w:color w:val="365F91" w:themeColor="accent1" w:themeShade="BF"/>
          <w:szCs w:val="26"/>
          <w:lang w:val="es-MX" w:eastAsia="es-MX"/>
        </w:rPr>
      </w:pPr>
      <w:r w:rsidRPr="00B96DFD">
        <w:rPr>
          <w:rFonts w:ascii="Arial" w:hAnsi="Arial" w:cs="Arial"/>
          <w:color w:val="365F91" w:themeColor="accent1" w:themeShade="BF"/>
          <w:szCs w:val="26"/>
          <w:lang w:val="es-MX" w:eastAsia="es-MX"/>
        </w:rPr>
        <w:t>Por lo anteriormente expuesto y fundado se:</w:t>
      </w:r>
    </w:p>
    <w:p w:rsidR="000A0AEC" w:rsidRPr="00B96DFD" w:rsidRDefault="000A0AEC" w:rsidP="000A0AEC">
      <w:pPr>
        <w:shd w:val="clear" w:color="auto" w:fill="FFFFFF"/>
        <w:jc w:val="center"/>
        <w:outlineLvl w:val="0"/>
        <w:rPr>
          <w:rFonts w:ascii="Arial" w:hAnsi="Arial" w:cs="Arial"/>
          <w:b/>
          <w:bCs/>
          <w:color w:val="365F91" w:themeColor="accent1" w:themeShade="BF"/>
          <w:szCs w:val="26"/>
          <w:lang w:val="es-MX" w:eastAsia="es-MX"/>
        </w:rPr>
      </w:pPr>
      <w:r w:rsidRPr="00B96DFD">
        <w:rPr>
          <w:rFonts w:ascii="Arial" w:hAnsi="Arial" w:cs="Arial"/>
          <w:b/>
          <w:bCs/>
          <w:color w:val="365F91" w:themeColor="accent1" w:themeShade="BF"/>
          <w:szCs w:val="26"/>
          <w:lang w:val="es-MX" w:eastAsia="es-MX"/>
        </w:rPr>
        <w:t>R E S U E L V E:</w:t>
      </w:r>
    </w:p>
    <w:p w:rsidR="000A0AEC" w:rsidRPr="00B96DFD" w:rsidRDefault="000A0AEC" w:rsidP="000A0AEC">
      <w:pPr>
        <w:spacing w:before="240" w:after="240"/>
        <w:rPr>
          <w:rFonts w:ascii="Arial" w:hAnsi="Arial" w:cs="Arial"/>
          <w:color w:val="365F91" w:themeColor="accent1" w:themeShade="BF"/>
        </w:rPr>
      </w:pPr>
      <w:r w:rsidRPr="00B96DFD">
        <w:rPr>
          <w:rFonts w:ascii="Arial" w:hAnsi="Arial" w:cs="Arial"/>
          <w:b/>
          <w:color w:val="365F91" w:themeColor="accent1" w:themeShade="BF"/>
        </w:rPr>
        <w:tab/>
        <w:t xml:space="preserve">ÚNICO.  </w:t>
      </w:r>
      <w:r w:rsidR="00752887" w:rsidRPr="00B96DFD">
        <w:rPr>
          <w:rFonts w:ascii="Arial" w:hAnsi="Arial" w:cs="Arial"/>
          <w:color w:val="365F91" w:themeColor="accent1" w:themeShade="BF"/>
        </w:rPr>
        <w:t>Se</w:t>
      </w:r>
      <w:r w:rsidR="00752887" w:rsidRPr="00B96DFD">
        <w:rPr>
          <w:rFonts w:ascii="Arial" w:hAnsi="Arial" w:cs="Arial"/>
          <w:b/>
          <w:color w:val="365F91" w:themeColor="accent1" w:themeShade="BF"/>
        </w:rPr>
        <w:t xml:space="preserve"> modifica</w:t>
      </w:r>
      <w:r w:rsidRPr="00B96DFD">
        <w:rPr>
          <w:rFonts w:ascii="Arial" w:hAnsi="Arial" w:cs="Arial"/>
          <w:color w:val="365F91" w:themeColor="accent1" w:themeShade="BF"/>
        </w:rPr>
        <w:t xml:space="preserve"> la respuesta emitida por el sujeto obligado por las razones y consideraciones expuestas en el considerando tercero de la presente resolución.</w:t>
      </w:r>
    </w:p>
    <w:p w:rsidR="000A0AEC" w:rsidRPr="00B96DFD" w:rsidRDefault="000A0AEC" w:rsidP="000A0AEC">
      <w:pPr>
        <w:spacing w:before="240" w:after="240"/>
        <w:rPr>
          <w:rFonts w:ascii="Arial" w:hAnsi="Arial" w:cs="Arial"/>
          <w:color w:val="365F91" w:themeColor="accent1" w:themeShade="BF"/>
        </w:rPr>
      </w:pPr>
      <w:r w:rsidRPr="00B96DFD">
        <w:rPr>
          <w:rFonts w:ascii="Arial" w:hAnsi="Arial" w:cs="Arial"/>
          <w:color w:val="365F91" w:themeColor="accent1" w:themeShade="BF"/>
        </w:rPr>
        <w:tab/>
        <w:t>Notifíquese personalmente a las partes el contenido de la presente resolución, de conformidad con el artículo 177 de la Ley de Transparencia y Acceso a la Información Pública del Estado.</w:t>
      </w:r>
    </w:p>
    <w:p w:rsidR="000A0AEC" w:rsidRPr="00B96DFD" w:rsidRDefault="000A0AEC" w:rsidP="000A0AEC">
      <w:pPr>
        <w:spacing w:before="240" w:after="240"/>
        <w:rPr>
          <w:rFonts w:ascii="Arial" w:hAnsi="Arial" w:cs="Arial"/>
          <w:color w:val="365F91" w:themeColor="accent1" w:themeShade="BF"/>
        </w:rPr>
      </w:pPr>
      <w:r w:rsidRPr="00B96DFD">
        <w:rPr>
          <w:rFonts w:ascii="Arial" w:hAnsi="Arial" w:cs="Arial"/>
          <w:color w:val="365F91" w:themeColor="accent1" w:themeShade="BF"/>
        </w:rPr>
        <w:lastRenderedPageBreak/>
        <w:tab/>
        <w:t>La notificación que se realice al sujeto obligado será, con fundamento en el artículo 58 de la Ley de Transparencia y Acceso a la Información Pública del Estado, a través de la Unidad de Transparencia.</w:t>
      </w:r>
    </w:p>
    <w:p w:rsidR="000A0AEC" w:rsidRPr="00B96DFD" w:rsidRDefault="000A0AEC" w:rsidP="000A0AEC">
      <w:pPr>
        <w:spacing w:before="240" w:after="240"/>
        <w:rPr>
          <w:rFonts w:ascii="Arial" w:hAnsi="Arial" w:cs="Arial"/>
          <w:color w:val="365F91" w:themeColor="accent1" w:themeShade="BF"/>
        </w:rPr>
      </w:pPr>
      <w:r w:rsidRPr="00B96DFD">
        <w:rPr>
          <w:rFonts w:ascii="Arial" w:hAnsi="Arial" w:cs="Arial"/>
          <w:color w:val="365F91" w:themeColor="accent1" w:themeShade="BF"/>
        </w:rPr>
        <w:tab/>
        <w:t>Se hace de conocimiento del recurrente que, en caso de no estar de acuerdo con los términos de la resolución dictada, podrá impugnar la presente resolución a través del Juicio de Amparo indirecto que promueva ante el Poder Judicial de la Federación. Lo anterior con fundamento en el artículo 159 de la Ley General de Transparencia y Acceso a la Información Pública.</w:t>
      </w:r>
    </w:p>
    <w:p w:rsidR="000A0AEC" w:rsidRPr="00B96DFD" w:rsidRDefault="000A0AEC" w:rsidP="000A0AEC">
      <w:pPr>
        <w:spacing w:before="240" w:after="240"/>
        <w:rPr>
          <w:rFonts w:ascii="Arial" w:hAnsi="Arial" w:cs="Arial"/>
          <w:color w:val="365F91" w:themeColor="accent1" w:themeShade="BF"/>
        </w:rPr>
      </w:pPr>
      <w:r w:rsidRPr="00B96DFD">
        <w:rPr>
          <w:rFonts w:ascii="Arial" w:hAnsi="Arial" w:cs="Arial"/>
          <w:color w:val="365F91" w:themeColor="accent1" w:themeShade="BF"/>
        </w:rPr>
        <w:tab/>
        <w:t xml:space="preserve">Así lo resuelve, por unanimidad de votos, el pleno de la Comisión Estatal de Garantía de Acceso a la Información Pública, conformado por los </w:t>
      </w:r>
      <w:r w:rsidR="007B477F" w:rsidRPr="00B96DFD">
        <w:rPr>
          <w:rFonts w:ascii="Arial" w:hAnsi="Arial" w:cs="Arial"/>
          <w:color w:val="365F91" w:themeColor="accent1" w:themeShade="BF"/>
        </w:rPr>
        <w:t>Comisionados Alejando</w:t>
      </w:r>
      <w:r w:rsidRPr="00B96DFD">
        <w:rPr>
          <w:rFonts w:ascii="Arial" w:hAnsi="Arial" w:cs="Arial"/>
          <w:color w:val="365F91" w:themeColor="accent1" w:themeShade="BF"/>
        </w:rPr>
        <w:t xml:space="preserve"> Lafuente Torres, Paulina Sánchez Pérez del Pozo y Claudia Elizabeth Ávalos Cedillo, en la sesión extraordinaria del catorce de </w:t>
      </w:r>
      <w:r w:rsidR="00752887" w:rsidRPr="00B96DFD">
        <w:rPr>
          <w:rFonts w:ascii="Arial" w:hAnsi="Arial" w:cs="Arial"/>
          <w:color w:val="365F91" w:themeColor="accent1" w:themeShade="BF"/>
        </w:rPr>
        <w:t>febrero de dos mil dieciocho</w:t>
      </w:r>
      <w:r w:rsidRPr="00B96DFD">
        <w:rPr>
          <w:rFonts w:ascii="Arial" w:hAnsi="Arial" w:cs="Arial"/>
          <w:color w:val="365F91" w:themeColor="accent1" w:themeShade="BF"/>
        </w:rPr>
        <w:t>,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394"/>
      </w:tblGrid>
      <w:tr w:rsidR="00B96DFD" w:rsidRPr="00B96DFD" w:rsidTr="005520FD">
        <w:tc>
          <w:tcPr>
            <w:tcW w:w="4503" w:type="dxa"/>
          </w:tcPr>
          <w:p w:rsidR="000A0AEC" w:rsidRPr="00B96DFD" w:rsidRDefault="000A0AEC" w:rsidP="005520FD">
            <w:pPr>
              <w:spacing w:after="240"/>
              <w:jc w:val="center"/>
              <w:rPr>
                <w:rFonts w:ascii="Arial" w:hAnsi="Arial" w:cs="Arial"/>
                <w:b/>
                <w:color w:val="365F91" w:themeColor="accent1" w:themeShade="BF"/>
                <w:sz w:val="24"/>
                <w:szCs w:val="26"/>
              </w:rPr>
            </w:pPr>
            <w:r w:rsidRPr="00B96DFD">
              <w:rPr>
                <w:rFonts w:ascii="Arial" w:hAnsi="Arial" w:cs="Arial"/>
                <w:b/>
                <w:color w:val="365F91" w:themeColor="accent1" w:themeShade="BF"/>
                <w:sz w:val="24"/>
                <w:szCs w:val="26"/>
              </w:rPr>
              <w:t>COMISIONADO PRESIDENTE</w:t>
            </w:r>
          </w:p>
          <w:p w:rsidR="000A0AEC" w:rsidRPr="00B96DFD" w:rsidRDefault="000A0AEC" w:rsidP="005520FD">
            <w:pPr>
              <w:spacing w:before="240" w:after="240"/>
              <w:jc w:val="center"/>
              <w:rPr>
                <w:rFonts w:ascii="Arial" w:hAnsi="Arial" w:cs="Arial"/>
                <w:b/>
                <w:color w:val="365F91" w:themeColor="accent1" w:themeShade="BF"/>
                <w:sz w:val="24"/>
                <w:szCs w:val="26"/>
              </w:rPr>
            </w:pPr>
          </w:p>
          <w:p w:rsidR="000A0AEC" w:rsidRPr="00B96DFD" w:rsidRDefault="000A0AEC" w:rsidP="005520FD">
            <w:pPr>
              <w:spacing w:before="240" w:after="240"/>
              <w:jc w:val="center"/>
              <w:rPr>
                <w:rFonts w:ascii="Arial" w:hAnsi="Arial" w:cs="Arial"/>
                <w:color w:val="365F91" w:themeColor="accent1" w:themeShade="BF"/>
              </w:rPr>
            </w:pPr>
            <w:r w:rsidRPr="00B96DFD">
              <w:rPr>
                <w:rFonts w:ascii="Arial" w:hAnsi="Arial" w:cs="Arial"/>
                <w:b/>
                <w:color w:val="365F91" w:themeColor="accent1" w:themeShade="BF"/>
                <w:sz w:val="24"/>
                <w:szCs w:val="26"/>
              </w:rPr>
              <w:t>ALEJANDRO LAFUENTE TORRES</w:t>
            </w:r>
          </w:p>
        </w:tc>
        <w:tc>
          <w:tcPr>
            <w:tcW w:w="4394" w:type="dxa"/>
          </w:tcPr>
          <w:p w:rsidR="000A0AEC" w:rsidRPr="00B96DFD" w:rsidRDefault="000A0AEC" w:rsidP="005520FD">
            <w:pPr>
              <w:spacing w:after="240"/>
              <w:ind w:left="48"/>
              <w:jc w:val="center"/>
              <w:rPr>
                <w:rFonts w:ascii="Arial" w:hAnsi="Arial" w:cs="Arial"/>
                <w:b/>
                <w:color w:val="365F91" w:themeColor="accent1" w:themeShade="BF"/>
                <w:sz w:val="24"/>
                <w:szCs w:val="26"/>
              </w:rPr>
            </w:pPr>
            <w:r w:rsidRPr="00B96DFD">
              <w:rPr>
                <w:rFonts w:ascii="Arial" w:hAnsi="Arial" w:cs="Arial"/>
                <w:b/>
                <w:color w:val="365F91" w:themeColor="accent1" w:themeShade="BF"/>
                <w:sz w:val="24"/>
                <w:szCs w:val="26"/>
              </w:rPr>
              <w:t>COMISIONADA</w:t>
            </w:r>
          </w:p>
          <w:p w:rsidR="000A0AEC" w:rsidRPr="00B96DFD" w:rsidRDefault="000A0AEC" w:rsidP="005520FD">
            <w:pPr>
              <w:spacing w:before="240" w:after="240"/>
              <w:jc w:val="center"/>
              <w:rPr>
                <w:rFonts w:ascii="Arial" w:hAnsi="Arial" w:cs="Arial"/>
                <w:b/>
                <w:color w:val="365F91" w:themeColor="accent1" w:themeShade="BF"/>
                <w:sz w:val="24"/>
                <w:szCs w:val="26"/>
              </w:rPr>
            </w:pPr>
          </w:p>
          <w:p w:rsidR="000A0AEC" w:rsidRPr="00B96DFD" w:rsidRDefault="000A0AEC" w:rsidP="005520FD">
            <w:pPr>
              <w:spacing w:before="240" w:after="240"/>
              <w:jc w:val="center"/>
              <w:rPr>
                <w:rFonts w:ascii="Arial" w:hAnsi="Arial" w:cs="Arial"/>
                <w:b/>
                <w:color w:val="365F91" w:themeColor="accent1" w:themeShade="BF"/>
                <w:sz w:val="24"/>
                <w:szCs w:val="26"/>
              </w:rPr>
            </w:pPr>
            <w:r w:rsidRPr="00B96DFD">
              <w:rPr>
                <w:rFonts w:ascii="Arial" w:hAnsi="Arial" w:cs="Arial"/>
                <w:b/>
                <w:color w:val="365F91" w:themeColor="accent1" w:themeShade="BF"/>
                <w:sz w:val="24"/>
                <w:szCs w:val="26"/>
              </w:rPr>
              <w:t>PAULINA SÁNCHEZ PÉREZ DEL POZO</w:t>
            </w:r>
          </w:p>
          <w:p w:rsidR="000A0AEC" w:rsidRPr="00B96DFD" w:rsidRDefault="000A0AEC" w:rsidP="005520FD">
            <w:pPr>
              <w:spacing w:before="240" w:after="240"/>
              <w:jc w:val="center"/>
              <w:rPr>
                <w:rFonts w:ascii="Arial" w:hAnsi="Arial" w:cs="Arial"/>
                <w:color w:val="365F91" w:themeColor="accent1" w:themeShade="BF"/>
              </w:rPr>
            </w:pPr>
          </w:p>
        </w:tc>
      </w:tr>
      <w:tr w:rsidR="00B96DFD" w:rsidRPr="00B96DFD" w:rsidTr="005520FD">
        <w:trPr>
          <w:trHeight w:val="2075"/>
        </w:trPr>
        <w:tc>
          <w:tcPr>
            <w:tcW w:w="4503" w:type="dxa"/>
          </w:tcPr>
          <w:p w:rsidR="000A0AEC" w:rsidRPr="00B96DFD" w:rsidRDefault="000A0AEC" w:rsidP="005520FD">
            <w:pPr>
              <w:spacing w:after="240" w:line="276" w:lineRule="auto"/>
              <w:jc w:val="center"/>
              <w:rPr>
                <w:rFonts w:ascii="Arial" w:hAnsi="Arial" w:cs="Arial"/>
                <w:b/>
                <w:color w:val="365F91" w:themeColor="accent1" w:themeShade="BF"/>
                <w:sz w:val="24"/>
                <w:szCs w:val="26"/>
              </w:rPr>
            </w:pPr>
            <w:r w:rsidRPr="00B96DFD">
              <w:rPr>
                <w:rFonts w:ascii="Arial" w:hAnsi="Arial" w:cs="Arial"/>
                <w:b/>
                <w:color w:val="365F91" w:themeColor="accent1" w:themeShade="BF"/>
                <w:sz w:val="24"/>
                <w:szCs w:val="26"/>
              </w:rPr>
              <w:t>COMISIONADA</w:t>
            </w:r>
            <w:bookmarkStart w:id="0" w:name="_GoBack"/>
            <w:bookmarkEnd w:id="0"/>
          </w:p>
          <w:p w:rsidR="000A0AEC" w:rsidRPr="00B96DFD" w:rsidRDefault="000A0AEC" w:rsidP="005520FD">
            <w:pPr>
              <w:spacing w:line="276" w:lineRule="auto"/>
              <w:rPr>
                <w:rFonts w:ascii="Arial" w:hAnsi="Arial" w:cs="Arial"/>
                <w:b/>
                <w:color w:val="365F91" w:themeColor="accent1" w:themeShade="BF"/>
                <w:sz w:val="24"/>
                <w:szCs w:val="26"/>
              </w:rPr>
            </w:pPr>
          </w:p>
          <w:p w:rsidR="000A0AEC" w:rsidRPr="00B96DFD" w:rsidRDefault="000A0AEC" w:rsidP="005520FD">
            <w:pPr>
              <w:rPr>
                <w:rFonts w:ascii="Arial" w:hAnsi="Arial" w:cs="Arial"/>
                <w:b/>
                <w:color w:val="365F91" w:themeColor="accent1" w:themeShade="BF"/>
                <w:sz w:val="24"/>
                <w:szCs w:val="26"/>
              </w:rPr>
            </w:pPr>
          </w:p>
          <w:p w:rsidR="000A0AEC" w:rsidRPr="00B96DFD" w:rsidRDefault="000A0AEC" w:rsidP="005520FD">
            <w:pPr>
              <w:spacing w:before="240" w:after="240" w:line="276" w:lineRule="auto"/>
              <w:jc w:val="center"/>
              <w:rPr>
                <w:rFonts w:ascii="Arial" w:hAnsi="Arial" w:cs="Arial"/>
                <w:color w:val="365F91" w:themeColor="accent1" w:themeShade="BF"/>
              </w:rPr>
            </w:pPr>
            <w:r w:rsidRPr="00B96DFD">
              <w:rPr>
                <w:rFonts w:ascii="Arial" w:hAnsi="Arial" w:cs="Arial"/>
                <w:b/>
                <w:color w:val="365F91" w:themeColor="accent1" w:themeShade="BF"/>
                <w:sz w:val="24"/>
                <w:szCs w:val="26"/>
              </w:rPr>
              <w:t>CLAUDIA ELIZABETH ÁVALOS CEDILLO</w:t>
            </w:r>
          </w:p>
        </w:tc>
        <w:tc>
          <w:tcPr>
            <w:tcW w:w="4394" w:type="dxa"/>
          </w:tcPr>
          <w:p w:rsidR="000A0AEC" w:rsidRPr="00B96DFD" w:rsidRDefault="000A0AEC" w:rsidP="005520FD">
            <w:pPr>
              <w:ind w:left="48" w:firstLine="2"/>
              <w:jc w:val="center"/>
              <w:rPr>
                <w:rFonts w:ascii="Arial" w:hAnsi="Arial" w:cs="Arial"/>
                <w:b/>
                <w:color w:val="365F91" w:themeColor="accent1" w:themeShade="BF"/>
                <w:sz w:val="24"/>
                <w:szCs w:val="26"/>
              </w:rPr>
            </w:pPr>
            <w:r w:rsidRPr="00B96DFD">
              <w:rPr>
                <w:rFonts w:ascii="Arial" w:hAnsi="Arial" w:cs="Arial"/>
                <w:b/>
                <w:color w:val="365F91" w:themeColor="accent1" w:themeShade="BF"/>
                <w:sz w:val="24"/>
                <w:szCs w:val="26"/>
              </w:rPr>
              <w:t>SECRETARIA DE PLENO</w:t>
            </w:r>
          </w:p>
          <w:p w:rsidR="000A0AEC" w:rsidRPr="00B96DFD" w:rsidRDefault="000A0AEC" w:rsidP="005520FD">
            <w:pPr>
              <w:ind w:left="48"/>
              <w:jc w:val="center"/>
              <w:rPr>
                <w:rFonts w:ascii="Arial" w:hAnsi="Arial" w:cs="Arial"/>
                <w:b/>
                <w:color w:val="365F91" w:themeColor="accent1" w:themeShade="BF"/>
                <w:sz w:val="24"/>
                <w:szCs w:val="26"/>
              </w:rPr>
            </w:pPr>
          </w:p>
          <w:p w:rsidR="000A0AEC" w:rsidRPr="00B96DFD" w:rsidRDefault="000A0AEC" w:rsidP="005520FD">
            <w:pPr>
              <w:spacing w:before="240"/>
              <w:rPr>
                <w:rFonts w:ascii="Arial" w:hAnsi="Arial" w:cs="Arial"/>
                <w:b/>
                <w:color w:val="365F91" w:themeColor="accent1" w:themeShade="BF"/>
                <w:sz w:val="24"/>
                <w:szCs w:val="26"/>
              </w:rPr>
            </w:pPr>
          </w:p>
          <w:p w:rsidR="000A0AEC" w:rsidRPr="00B96DFD" w:rsidRDefault="000A0AEC" w:rsidP="005520FD">
            <w:pPr>
              <w:ind w:left="48"/>
              <w:jc w:val="center"/>
              <w:rPr>
                <w:rFonts w:ascii="Arial" w:hAnsi="Arial" w:cs="Arial"/>
                <w:b/>
                <w:color w:val="365F91" w:themeColor="accent1" w:themeShade="BF"/>
                <w:sz w:val="24"/>
                <w:szCs w:val="26"/>
              </w:rPr>
            </w:pPr>
            <w:r w:rsidRPr="00B96DFD">
              <w:rPr>
                <w:rFonts w:ascii="Arial" w:hAnsi="Arial" w:cs="Arial"/>
                <w:b/>
                <w:color w:val="365F91" w:themeColor="accent1" w:themeShade="BF"/>
                <w:sz w:val="24"/>
                <w:szCs w:val="26"/>
              </w:rPr>
              <w:t>ROSA MARÍA MOTILLA GARCÍA</w:t>
            </w:r>
          </w:p>
        </w:tc>
      </w:tr>
    </w:tbl>
    <w:tbl>
      <w:tblPr>
        <w:tblW w:w="10613" w:type="dxa"/>
        <w:jc w:val="center"/>
        <w:tblLook w:val="01E0" w:firstRow="1" w:lastRow="1" w:firstColumn="1" w:lastColumn="1" w:noHBand="0" w:noVBand="0"/>
      </w:tblPr>
      <w:tblGrid>
        <w:gridCol w:w="4880"/>
        <w:gridCol w:w="358"/>
        <w:gridCol w:w="5375"/>
      </w:tblGrid>
      <w:tr w:rsidR="00B96DFD" w:rsidRPr="00B96DFD" w:rsidTr="005520FD">
        <w:trPr>
          <w:trHeight w:val="244"/>
          <w:jc w:val="center"/>
        </w:trPr>
        <w:tc>
          <w:tcPr>
            <w:tcW w:w="4880" w:type="dxa"/>
          </w:tcPr>
          <w:p w:rsidR="000A0AEC" w:rsidRPr="00B96DFD" w:rsidRDefault="000A0AEC" w:rsidP="005520FD">
            <w:pPr>
              <w:ind w:left="97"/>
              <w:jc w:val="center"/>
              <w:rPr>
                <w:rFonts w:ascii="Arial" w:hAnsi="Arial" w:cs="Arial"/>
                <w:b/>
                <w:color w:val="365F91" w:themeColor="accent1" w:themeShade="BF"/>
                <w:szCs w:val="26"/>
              </w:rPr>
            </w:pPr>
          </w:p>
        </w:tc>
        <w:tc>
          <w:tcPr>
            <w:tcW w:w="358" w:type="dxa"/>
          </w:tcPr>
          <w:p w:rsidR="000A0AEC" w:rsidRPr="00B96DFD" w:rsidRDefault="000A0AEC" w:rsidP="005520FD">
            <w:pPr>
              <w:ind w:left="360" w:firstLine="708"/>
              <w:jc w:val="center"/>
              <w:rPr>
                <w:rFonts w:ascii="Arial" w:hAnsi="Arial" w:cs="Arial"/>
                <w:b/>
                <w:color w:val="365F91" w:themeColor="accent1" w:themeShade="BF"/>
                <w:szCs w:val="26"/>
              </w:rPr>
            </w:pPr>
          </w:p>
        </w:tc>
        <w:tc>
          <w:tcPr>
            <w:tcW w:w="5375" w:type="dxa"/>
          </w:tcPr>
          <w:p w:rsidR="000A0AEC" w:rsidRPr="00B96DFD" w:rsidRDefault="000A0AEC" w:rsidP="005520FD">
            <w:pPr>
              <w:jc w:val="center"/>
              <w:rPr>
                <w:rFonts w:ascii="Arial" w:hAnsi="Arial" w:cs="Arial"/>
                <w:b/>
                <w:color w:val="365F91" w:themeColor="accent1" w:themeShade="BF"/>
                <w:szCs w:val="26"/>
              </w:rPr>
            </w:pPr>
          </w:p>
        </w:tc>
      </w:tr>
    </w:tbl>
    <w:p w:rsidR="000A0AEC" w:rsidRPr="00B96DFD" w:rsidRDefault="000A0AEC" w:rsidP="000A0AEC">
      <w:pPr>
        <w:spacing w:after="240" w:line="240" w:lineRule="auto"/>
        <w:rPr>
          <w:rFonts w:ascii="Arial" w:hAnsi="Arial" w:cs="Arial"/>
          <w:color w:val="365F91" w:themeColor="accent1" w:themeShade="BF"/>
          <w:sz w:val="16"/>
          <w:szCs w:val="16"/>
        </w:rPr>
      </w:pPr>
      <w:r w:rsidRPr="00B96DFD">
        <w:rPr>
          <w:rFonts w:ascii="Arial" w:hAnsi="Arial" w:cs="Arial"/>
          <w:color w:val="365F91" w:themeColor="accent1" w:themeShade="BF"/>
          <w:sz w:val="18"/>
        </w:rPr>
        <w:tab/>
      </w:r>
      <w:r w:rsidRPr="00B96DFD">
        <w:rPr>
          <w:rFonts w:ascii="Arial" w:hAnsi="Arial" w:cs="Arial"/>
          <w:color w:val="365F91" w:themeColor="accent1" w:themeShade="BF"/>
          <w:sz w:val="16"/>
          <w:szCs w:val="16"/>
        </w:rPr>
        <w:t>Estas firmas pertenecen a la última foja de la resolución pronunciad</w:t>
      </w:r>
      <w:r w:rsidR="00752887" w:rsidRPr="00B96DFD">
        <w:rPr>
          <w:rFonts w:ascii="Arial" w:hAnsi="Arial" w:cs="Arial"/>
          <w:color w:val="365F91" w:themeColor="accent1" w:themeShade="BF"/>
          <w:sz w:val="16"/>
          <w:szCs w:val="16"/>
        </w:rPr>
        <w:t xml:space="preserve">a en el recurso de </w:t>
      </w:r>
      <w:r w:rsidR="007B477F" w:rsidRPr="00B96DFD">
        <w:rPr>
          <w:rFonts w:ascii="Arial" w:hAnsi="Arial" w:cs="Arial"/>
          <w:color w:val="365F91" w:themeColor="accent1" w:themeShade="BF"/>
          <w:sz w:val="16"/>
          <w:szCs w:val="16"/>
        </w:rPr>
        <w:t>revisión 015</w:t>
      </w:r>
      <w:r w:rsidR="00752887" w:rsidRPr="00B96DFD">
        <w:rPr>
          <w:rFonts w:ascii="Arial" w:hAnsi="Arial" w:cs="Arial"/>
          <w:color w:val="365F91" w:themeColor="accent1" w:themeShade="BF"/>
          <w:sz w:val="16"/>
          <w:szCs w:val="16"/>
        </w:rPr>
        <w:t>/2018</w:t>
      </w:r>
      <w:r w:rsidRPr="00B96DFD">
        <w:rPr>
          <w:rFonts w:ascii="Arial" w:hAnsi="Arial" w:cs="Arial"/>
          <w:color w:val="365F91" w:themeColor="accent1" w:themeShade="BF"/>
          <w:sz w:val="16"/>
          <w:szCs w:val="16"/>
        </w:rPr>
        <w:t xml:space="preserve">-3 aprobada en sesión extraordinaria del catorce de </w:t>
      </w:r>
      <w:r w:rsidR="007B477F" w:rsidRPr="00B96DFD">
        <w:rPr>
          <w:rFonts w:ascii="Arial" w:hAnsi="Arial" w:cs="Arial"/>
          <w:color w:val="365F91" w:themeColor="accent1" w:themeShade="BF"/>
          <w:sz w:val="16"/>
          <w:szCs w:val="16"/>
        </w:rPr>
        <w:t>febrero</w:t>
      </w:r>
      <w:r w:rsidR="00752887" w:rsidRPr="00B96DFD">
        <w:rPr>
          <w:rFonts w:ascii="Arial" w:hAnsi="Arial" w:cs="Arial"/>
          <w:color w:val="365F91" w:themeColor="accent1" w:themeShade="BF"/>
          <w:sz w:val="16"/>
          <w:szCs w:val="16"/>
        </w:rPr>
        <w:t xml:space="preserve"> de dos mil dieciocho</w:t>
      </w:r>
      <w:r w:rsidRPr="00B96DFD">
        <w:rPr>
          <w:rFonts w:ascii="Arial" w:hAnsi="Arial" w:cs="Arial"/>
          <w:color w:val="365F91" w:themeColor="accent1" w:themeShade="BF"/>
          <w:sz w:val="16"/>
          <w:szCs w:val="16"/>
        </w:rPr>
        <w:t>.</w:t>
      </w:r>
    </w:p>
    <w:p w:rsidR="000A0AEC" w:rsidRPr="00B96DFD" w:rsidRDefault="000A0AEC" w:rsidP="000A0AEC">
      <w:pPr>
        <w:spacing w:after="240" w:line="240" w:lineRule="auto"/>
        <w:rPr>
          <w:rFonts w:ascii="Arial" w:hAnsi="Arial" w:cs="Arial"/>
          <w:color w:val="365F91" w:themeColor="accent1" w:themeShade="BF"/>
          <w:sz w:val="16"/>
          <w:szCs w:val="16"/>
        </w:rPr>
      </w:pPr>
      <w:r w:rsidRPr="00B96DFD">
        <w:rPr>
          <w:rFonts w:ascii="Arial" w:hAnsi="Arial" w:cs="Arial"/>
          <w:color w:val="365F91" w:themeColor="accent1" w:themeShade="BF"/>
          <w:sz w:val="16"/>
          <w:szCs w:val="16"/>
        </w:rPr>
        <w:t xml:space="preserve">Elaboró y Cotejó: </w:t>
      </w:r>
    </w:p>
    <w:p w:rsidR="00D80EDF" w:rsidRPr="00B96DFD" w:rsidRDefault="00752887" w:rsidP="00752887">
      <w:pPr>
        <w:spacing w:after="240" w:line="240" w:lineRule="auto"/>
        <w:rPr>
          <w:color w:val="365F91" w:themeColor="accent1" w:themeShade="BF"/>
        </w:rPr>
      </w:pPr>
      <w:r w:rsidRPr="00B96DFD">
        <w:rPr>
          <w:rFonts w:ascii="Arial" w:hAnsi="Arial" w:cs="Arial"/>
          <w:color w:val="365F91" w:themeColor="accent1" w:themeShade="BF"/>
          <w:sz w:val="16"/>
          <w:szCs w:val="16"/>
        </w:rPr>
        <w:t>ABCR</w:t>
      </w:r>
    </w:p>
    <w:sectPr w:rsidR="00D80EDF" w:rsidRPr="00B96DFD" w:rsidSect="001C3E75">
      <w:headerReference w:type="even" r:id="rId8"/>
      <w:headerReference w:type="default" r:id="rId9"/>
      <w:headerReference w:type="first" r:id="rId10"/>
      <w:pgSz w:w="12240" w:h="20160" w:code="5"/>
      <w:pgMar w:top="3062" w:right="851" w:bottom="2495" w:left="283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718" w:rsidRDefault="00333718" w:rsidP="00EE69A4">
      <w:pPr>
        <w:spacing w:line="240" w:lineRule="auto"/>
      </w:pPr>
      <w:r>
        <w:separator/>
      </w:r>
    </w:p>
  </w:endnote>
  <w:endnote w:type="continuationSeparator" w:id="0">
    <w:p w:rsidR="00333718" w:rsidRDefault="00333718" w:rsidP="00EE69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718" w:rsidRDefault="00333718" w:rsidP="00EE69A4">
      <w:pPr>
        <w:spacing w:line="240" w:lineRule="auto"/>
      </w:pPr>
      <w:r>
        <w:separator/>
      </w:r>
    </w:p>
  </w:footnote>
  <w:footnote w:type="continuationSeparator" w:id="0">
    <w:p w:rsidR="00333718" w:rsidRDefault="00333718" w:rsidP="00EE69A4">
      <w:pPr>
        <w:spacing w:line="240" w:lineRule="auto"/>
      </w:pPr>
      <w:r>
        <w:continuationSeparator/>
      </w:r>
    </w:p>
  </w:footnote>
  <w:footnote w:id="1">
    <w:p w:rsidR="000320CA" w:rsidRPr="00971F5D" w:rsidRDefault="000320CA" w:rsidP="00356A70">
      <w:pPr>
        <w:pStyle w:val="Textonotapie"/>
        <w:jc w:val="both"/>
        <w:rPr>
          <w:color w:val="4F81BD" w:themeColor="accent1"/>
        </w:rPr>
      </w:pPr>
      <w:r>
        <w:rPr>
          <w:rStyle w:val="Refdenotaalpie"/>
        </w:rPr>
        <w:footnoteRef/>
      </w:r>
      <w:r>
        <w:t xml:space="preserve"> </w:t>
      </w:r>
      <w:r w:rsidRPr="00971F5D">
        <w:rPr>
          <w:color w:val="4F81BD" w:themeColor="accent1"/>
        </w:rPr>
        <w:t xml:space="preserve">PINA VARA, Rafael. </w:t>
      </w:r>
      <w:r w:rsidRPr="00971F5D">
        <w:rPr>
          <w:i/>
          <w:color w:val="4F81BD" w:themeColor="accent1"/>
        </w:rPr>
        <w:t xml:space="preserve">La prueba de confesión en el juicio civil. </w:t>
      </w:r>
      <w:r w:rsidRPr="00971F5D">
        <w:rPr>
          <w:color w:val="4F81BD" w:themeColor="accent1"/>
        </w:rPr>
        <w:t xml:space="preserve">Acervo de la Biblioteca Jurídica Virtual del Instituto de Investigaciones Jurídicas de la UNAM. Pág. 4, disponible en </w:t>
      </w:r>
      <w:hyperlink r:id="rId1" w:history="1">
        <w:r w:rsidRPr="00971F5D">
          <w:rPr>
            <w:rStyle w:val="Hipervnculo"/>
            <w:color w:val="4F81BD" w:themeColor="accent1"/>
          </w:rPr>
          <w:t>http://historico.juridicas.unam.mx/publica/librev/rev/revenj/cont/11/dtr/dtr2.pdf</w:t>
        </w:r>
      </w:hyperlink>
      <w:r w:rsidRPr="00971F5D">
        <w:rPr>
          <w:color w:val="4F81BD" w:themeColor="accent1"/>
        </w:rPr>
        <w:t>, [Consultado en veinticuatro de octubre de dos mil diecisiete]</w:t>
      </w:r>
    </w:p>
  </w:footnote>
  <w:footnote w:id="2">
    <w:p w:rsidR="000320CA" w:rsidRPr="00971F5D" w:rsidRDefault="000320CA" w:rsidP="00356A70">
      <w:pPr>
        <w:pStyle w:val="Textonotapie"/>
        <w:rPr>
          <w:i/>
        </w:rPr>
      </w:pPr>
      <w:r>
        <w:rPr>
          <w:rStyle w:val="Refdenotaalpie"/>
        </w:rPr>
        <w:footnoteRef/>
      </w:r>
      <w:r>
        <w:t xml:space="preserve"> </w:t>
      </w:r>
      <w:r w:rsidRPr="00E56184">
        <w:rPr>
          <w:i/>
          <w:color w:val="4F81BD" w:themeColor="accent1"/>
        </w:rPr>
        <w:t xml:space="preserve">Cfr. </w:t>
      </w:r>
      <w:proofErr w:type="spellStart"/>
      <w:r w:rsidRPr="00E56184">
        <w:rPr>
          <w:i/>
          <w:color w:val="4F81BD" w:themeColor="accent1"/>
        </w:rPr>
        <w:t>Idem</w:t>
      </w:r>
      <w:proofErr w:type="spellEnd"/>
      <w:r w:rsidRPr="00E56184">
        <w:rPr>
          <w:i/>
          <w:color w:val="4F81BD" w:themeColor="accent1"/>
        </w:rPr>
        <w:t>.</w:t>
      </w:r>
      <w:r>
        <w:rPr>
          <w:i/>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669881"/>
      <w:docPartObj>
        <w:docPartGallery w:val="Page Numbers (Top of Page)"/>
        <w:docPartUnique/>
      </w:docPartObj>
    </w:sdtPr>
    <w:sdtEndPr/>
    <w:sdtContent>
      <w:p w:rsidR="000320CA" w:rsidRDefault="000320CA">
        <w:pPr>
          <w:pStyle w:val="Encabezado"/>
          <w:jc w:val="center"/>
        </w:pPr>
        <w:r>
          <w:fldChar w:fldCharType="begin"/>
        </w:r>
        <w:r>
          <w:instrText xml:space="preserve"> PAGE   \* MERGEFORMAT </w:instrText>
        </w:r>
        <w:r>
          <w:fldChar w:fldCharType="separate"/>
        </w:r>
        <w:r>
          <w:rPr>
            <w:noProof/>
          </w:rPr>
          <w:t>2</w:t>
        </w:r>
        <w:r>
          <w:rPr>
            <w:noProof/>
          </w:rPr>
          <w:fldChar w:fldCharType="end"/>
        </w:r>
      </w:p>
    </w:sdtContent>
  </w:sdt>
  <w:p w:rsidR="000320CA" w:rsidRDefault="000320CA">
    <w:pPr>
      <w:pStyle w:val="Encabezado"/>
    </w:pPr>
    <w:r>
      <w:t>CEGAIP-RR-018/2016-3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669903"/>
      <w:docPartObj>
        <w:docPartGallery w:val="Page Numbers (Top of Page)"/>
        <w:docPartUnique/>
      </w:docPartObj>
    </w:sdtPr>
    <w:sdtEndPr/>
    <w:sdtContent>
      <w:p w:rsidR="000320CA" w:rsidRDefault="000320CA">
        <w:pPr>
          <w:pStyle w:val="Encabezado"/>
          <w:jc w:val="center"/>
        </w:pPr>
        <w:r>
          <w:fldChar w:fldCharType="begin"/>
        </w:r>
        <w:r>
          <w:instrText xml:space="preserve"> PAGE   \* MERGEFORMAT </w:instrText>
        </w:r>
        <w:r>
          <w:fldChar w:fldCharType="separate"/>
        </w:r>
        <w:r w:rsidR="00730FD6">
          <w:rPr>
            <w:noProof/>
          </w:rPr>
          <w:t>14</w:t>
        </w:r>
        <w:r>
          <w:rPr>
            <w:noProof/>
          </w:rPr>
          <w:fldChar w:fldCharType="end"/>
        </w:r>
      </w:p>
    </w:sdtContent>
  </w:sdt>
  <w:p w:rsidR="000320CA" w:rsidRPr="001C3E75" w:rsidRDefault="000320CA">
    <w:pPr>
      <w:pStyle w:val="Encabezado"/>
      <w:rPr>
        <w:color w:val="1F497D" w:themeColor="text2"/>
        <w:lang w:val="es-MX"/>
      </w:rPr>
    </w:pPr>
    <w:r>
      <w:rPr>
        <w:color w:val="1F497D" w:themeColor="text2"/>
        <w:lang w:val="es-MX"/>
      </w:rPr>
      <w:t>CEGAIP-RR-</w:t>
    </w:r>
    <w:r w:rsidR="00B96DFD">
      <w:rPr>
        <w:color w:val="1F497D" w:themeColor="text2"/>
        <w:lang w:val="es-MX"/>
      </w:rPr>
      <w:t>015</w:t>
    </w:r>
    <w:r w:rsidRPr="001C3E75">
      <w:rPr>
        <w:color w:val="1F497D" w:themeColor="text2"/>
        <w:lang w:val="es-MX"/>
      </w:rPr>
      <w:t>/201</w:t>
    </w:r>
    <w:r w:rsidR="00B96DFD">
      <w:rPr>
        <w:color w:val="1F497D" w:themeColor="text2"/>
        <w:lang w:val="es-MX"/>
      </w:rPr>
      <w:t>8</w:t>
    </w:r>
    <w:r w:rsidRPr="001C3E75">
      <w:rPr>
        <w:color w:val="1F497D" w:themeColor="text2"/>
        <w:lang w:val="es-MX"/>
      </w:rPr>
      <w:t>-3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669880"/>
      <w:docPartObj>
        <w:docPartGallery w:val="Page Numbers (Top of Page)"/>
        <w:docPartUnique/>
      </w:docPartObj>
    </w:sdtPr>
    <w:sdtEndPr/>
    <w:sdtContent>
      <w:p w:rsidR="000320CA" w:rsidRDefault="000320CA">
        <w:pPr>
          <w:pStyle w:val="Encabezado"/>
          <w:jc w:val="center"/>
        </w:pPr>
        <w:r>
          <w:fldChar w:fldCharType="begin"/>
        </w:r>
        <w:r>
          <w:instrText xml:space="preserve"> PAGE   \* MERGEFORMAT </w:instrText>
        </w:r>
        <w:r>
          <w:fldChar w:fldCharType="separate"/>
        </w:r>
        <w:r w:rsidR="00730FD6">
          <w:rPr>
            <w:noProof/>
          </w:rPr>
          <w:t>1</w:t>
        </w:r>
        <w:r>
          <w:rPr>
            <w:noProof/>
          </w:rPr>
          <w:fldChar w:fldCharType="end"/>
        </w:r>
      </w:p>
    </w:sdtContent>
  </w:sdt>
  <w:p w:rsidR="000320CA" w:rsidRDefault="000320C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479ED"/>
    <w:multiLevelType w:val="hybridMultilevel"/>
    <w:tmpl w:val="CBC83646"/>
    <w:lvl w:ilvl="0" w:tplc="080A0001">
      <w:start w:val="1"/>
      <w:numFmt w:val="bullet"/>
      <w:lvlText w:val=""/>
      <w:lvlJc w:val="left"/>
      <w:pPr>
        <w:ind w:left="1980" w:hanging="360"/>
      </w:pPr>
      <w:rPr>
        <w:rFonts w:ascii="Symbol" w:hAnsi="Symbol" w:hint="default"/>
      </w:rPr>
    </w:lvl>
    <w:lvl w:ilvl="1" w:tplc="080A0003" w:tentative="1">
      <w:start w:val="1"/>
      <w:numFmt w:val="bullet"/>
      <w:lvlText w:val="o"/>
      <w:lvlJc w:val="left"/>
      <w:pPr>
        <w:ind w:left="2700" w:hanging="360"/>
      </w:pPr>
      <w:rPr>
        <w:rFonts w:ascii="Courier New" w:hAnsi="Courier New" w:cs="Courier New" w:hint="default"/>
      </w:rPr>
    </w:lvl>
    <w:lvl w:ilvl="2" w:tplc="080A0005" w:tentative="1">
      <w:start w:val="1"/>
      <w:numFmt w:val="bullet"/>
      <w:lvlText w:val=""/>
      <w:lvlJc w:val="left"/>
      <w:pPr>
        <w:ind w:left="3420" w:hanging="360"/>
      </w:pPr>
      <w:rPr>
        <w:rFonts w:ascii="Wingdings" w:hAnsi="Wingdings" w:hint="default"/>
      </w:rPr>
    </w:lvl>
    <w:lvl w:ilvl="3" w:tplc="080A0001" w:tentative="1">
      <w:start w:val="1"/>
      <w:numFmt w:val="bullet"/>
      <w:lvlText w:val=""/>
      <w:lvlJc w:val="left"/>
      <w:pPr>
        <w:ind w:left="4140" w:hanging="360"/>
      </w:pPr>
      <w:rPr>
        <w:rFonts w:ascii="Symbol" w:hAnsi="Symbol" w:hint="default"/>
      </w:rPr>
    </w:lvl>
    <w:lvl w:ilvl="4" w:tplc="080A0003" w:tentative="1">
      <w:start w:val="1"/>
      <w:numFmt w:val="bullet"/>
      <w:lvlText w:val="o"/>
      <w:lvlJc w:val="left"/>
      <w:pPr>
        <w:ind w:left="4860" w:hanging="360"/>
      </w:pPr>
      <w:rPr>
        <w:rFonts w:ascii="Courier New" w:hAnsi="Courier New" w:cs="Courier New" w:hint="default"/>
      </w:rPr>
    </w:lvl>
    <w:lvl w:ilvl="5" w:tplc="080A0005" w:tentative="1">
      <w:start w:val="1"/>
      <w:numFmt w:val="bullet"/>
      <w:lvlText w:val=""/>
      <w:lvlJc w:val="left"/>
      <w:pPr>
        <w:ind w:left="5580" w:hanging="360"/>
      </w:pPr>
      <w:rPr>
        <w:rFonts w:ascii="Wingdings" w:hAnsi="Wingdings" w:hint="default"/>
      </w:rPr>
    </w:lvl>
    <w:lvl w:ilvl="6" w:tplc="080A0001" w:tentative="1">
      <w:start w:val="1"/>
      <w:numFmt w:val="bullet"/>
      <w:lvlText w:val=""/>
      <w:lvlJc w:val="left"/>
      <w:pPr>
        <w:ind w:left="6300" w:hanging="360"/>
      </w:pPr>
      <w:rPr>
        <w:rFonts w:ascii="Symbol" w:hAnsi="Symbol" w:hint="default"/>
      </w:rPr>
    </w:lvl>
    <w:lvl w:ilvl="7" w:tplc="080A0003" w:tentative="1">
      <w:start w:val="1"/>
      <w:numFmt w:val="bullet"/>
      <w:lvlText w:val="o"/>
      <w:lvlJc w:val="left"/>
      <w:pPr>
        <w:ind w:left="7020" w:hanging="360"/>
      </w:pPr>
      <w:rPr>
        <w:rFonts w:ascii="Courier New" w:hAnsi="Courier New" w:cs="Courier New" w:hint="default"/>
      </w:rPr>
    </w:lvl>
    <w:lvl w:ilvl="8" w:tplc="080A0005" w:tentative="1">
      <w:start w:val="1"/>
      <w:numFmt w:val="bullet"/>
      <w:lvlText w:val=""/>
      <w:lvlJc w:val="left"/>
      <w:pPr>
        <w:ind w:left="7740" w:hanging="360"/>
      </w:pPr>
      <w:rPr>
        <w:rFonts w:ascii="Wingdings" w:hAnsi="Wingdings" w:hint="default"/>
      </w:rPr>
    </w:lvl>
  </w:abstractNum>
  <w:abstractNum w:abstractNumId="1" w15:restartNumberingAfterBreak="0">
    <w:nsid w:val="07933754"/>
    <w:multiLevelType w:val="hybridMultilevel"/>
    <w:tmpl w:val="4DD682B6"/>
    <w:lvl w:ilvl="0" w:tplc="080A000F">
      <w:start w:val="1"/>
      <w:numFmt w:val="decimal"/>
      <w:lvlText w:val="%1."/>
      <w:lvlJc w:val="left"/>
      <w:pPr>
        <w:ind w:left="1428" w:hanging="360"/>
      </w:pPr>
      <w:rPr>
        <w:rFont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15:restartNumberingAfterBreak="0">
    <w:nsid w:val="0B461F16"/>
    <w:multiLevelType w:val="hybridMultilevel"/>
    <w:tmpl w:val="2ACACD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15:restartNumberingAfterBreak="0">
    <w:nsid w:val="115656A0"/>
    <w:multiLevelType w:val="hybridMultilevel"/>
    <w:tmpl w:val="CF3A5C24"/>
    <w:lvl w:ilvl="0" w:tplc="927C37B0">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5" w15:restartNumberingAfterBreak="0">
    <w:nsid w:val="11C67BF9"/>
    <w:multiLevelType w:val="hybridMultilevel"/>
    <w:tmpl w:val="E794CA98"/>
    <w:lvl w:ilvl="0" w:tplc="EAFE9064">
      <w:numFmt w:val="bullet"/>
      <w:lvlText w:val="•"/>
      <w:lvlJc w:val="left"/>
      <w:pPr>
        <w:ind w:left="3023" w:hanging="1272"/>
      </w:pPr>
      <w:rPr>
        <w:rFonts w:ascii="Arial" w:eastAsia="Arial Unicode MS" w:hAnsi="Arial" w:cs="Arial" w:hint="default"/>
      </w:rPr>
    </w:lvl>
    <w:lvl w:ilvl="1" w:tplc="080A0003" w:tentative="1">
      <w:start w:val="1"/>
      <w:numFmt w:val="bullet"/>
      <w:lvlText w:val="o"/>
      <w:lvlJc w:val="left"/>
      <w:pPr>
        <w:ind w:left="2831" w:hanging="360"/>
      </w:pPr>
      <w:rPr>
        <w:rFonts w:ascii="Courier New" w:hAnsi="Courier New" w:cs="Courier New" w:hint="default"/>
      </w:rPr>
    </w:lvl>
    <w:lvl w:ilvl="2" w:tplc="080A0005" w:tentative="1">
      <w:start w:val="1"/>
      <w:numFmt w:val="bullet"/>
      <w:lvlText w:val=""/>
      <w:lvlJc w:val="left"/>
      <w:pPr>
        <w:ind w:left="3551" w:hanging="360"/>
      </w:pPr>
      <w:rPr>
        <w:rFonts w:ascii="Wingdings" w:hAnsi="Wingdings" w:hint="default"/>
      </w:rPr>
    </w:lvl>
    <w:lvl w:ilvl="3" w:tplc="080A0001" w:tentative="1">
      <w:start w:val="1"/>
      <w:numFmt w:val="bullet"/>
      <w:lvlText w:val=""/>
      <w:lvlJc w:val="left"/>
      <w:pPr>
        <w:ind w:left="4271" w:hanging="360"/>
      </w:pPr>
      <w:rPr>
        <w:rFonts w:ascii="Symbol" w:hAnsi="Symbol" w:hint="default"/>
      </w:rPr>
    </w:lvl>
    <w:lvl w:ilvl="4" w:tplc="080A0003" w:tentative="1">
      <w:start w:val="1"/>
      <w:numFmt w:val="bullet"/>
      <w:lvlText w:val="o"/>
      <w:lvlJc w:val="left"/>
      <w:pPr>
        <w:ind w:left="4991" w:hanging="360"/>
      </w:pPr>
      <w:rPr>
        <w:rFonts w:ascii="Courier New" w:hAnsi="Courier New" w:cs="Courier New" w:hint="default"/>
      </w:rPr>
    </w:lvl>
    <w:lvl w:ilvl="5" w:tplc="080A0005" w:tentative="1">
      <w:start w:val="1"/>
      <w:numFmt w:val="bullet"/>
      <w:lvlText w:val=""/>
      <w:lvlJc w:val="left"/>
      <w:pPr>
        <w:ind w:left="5711" w:hanging="360"/>
      </w:pPr>
      <w:rPr>
        <w:rFonts w:ascii="Wingdings" w:hAnsi="Wingdings" w:hint="default"/>
      </w:rPr>
    </w:lvl>
    <w:lvl w:ilvl="6" w:tplc="080A0001" w:tentative="1">
      <w:start w:val="1"/>
      <w:numFmt w:val="bullet"/>
      <w:lvlText w:val=""/>
      <w:lvlJc w:val="left"/>
      <w:pPr>
        <w:ind w:left="6431" w:hanging="360"/>
      </w:pPr>
      <w:rPr>
        <w:rFonts w:ascii="Symbol" w:hAnsi="Symbol" w:hint="default"/>
      </w:rPr>
    </w:lvl>
    <w:lvl w:ilvl="7" w:tplc="080A0003" w:tentative="1">
      <w:start w:val="1"/>
      <w:numFmt w:val="bullet"/>
      <w:lvlText w:val="o"/>
      <w:lvlJc w:val="left"/>
      <w:pPr>
        <w:ind w:left="7151" w:hanging="360"/>
      </w:pPr>
      <w:rPr>
        <w:rFonts w:ascii="Courier New" w:hAnsi="Courier New" w:cs="Courier New" w:hint="default"/>
      </w:rPr>
    </w:lvl>
    <w:lvl w:ilvl="8" w:tplc="080A0005" w:tentative="1">
      <w:start w:val="1"/>
      <w:numFmt w:val="bullet"/>
      <w:lvlText w:val=""/>
      <w:lvlJc w:val="left"/>
      <w:pPr>
        <w:ind w:left="7871" w:hanging="360"/>
      </w:pPr>
      <w:rPr>
        <w:rFonts w:ascii="Wingdings" w:hAnsi="Wingdings" w:hint="default"/>
      </w:rPr>
    </w:lvl>
  </w:abstractNum>
  <w:abstractNum w:abstractNumId="6" w15:restartNumberingAfterBreak="0">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7" w15:restartNumberingAfterBreak="0">
    <w:nsid w:val="1CAC1F95"/>
    <w:multiLevelType w:val="hybridMultilevel"/>
    <w:tmpl w:val="2FE845F6"/>
    <w:lvl w:ilvl="0" w:tplc="4FAE14F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8" w15:restartNumberingAfterBreak="0">
    <w:nsid w:val="24823EF5"/>
    <w:multiLevelType w:val="hybridMultilevel"/>
    <w:tmpl w:val="441C64A4"/>
    <w:lvl w:ilvl="0" w:tplc="ED86B9C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9" w15:restartNumberingAfterBreak="0">
    <w:nsid w:val="350D00B5"/>
    <w:multiLevelType w:val="hybridMultilevel"/>
    <w:tmpl w:val="99FE20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9523C01"/>
    <w:multiLevelType w:val="hybridMultilevel"/>
    <w:tmpl w:val="63228CE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15:restartNumberingAfterBreak="0">
    <w:nsid w:val="50260564"/>
    <w:multiLevelType w:val="hybridMultilevel"/>
    <w:tmpl w:val="38BCED5E"/>
    <w:lvl w:ilvl="0" w:tplc="EC563C6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15:restartNumberingAfterBreak="0">
    <w:nsid w:val="5C0278CB"/>
    <w:multiLevelType w:val="hybridMultilevel"/>
    <w:tmpl w:val="C01A2C88"/>
    <w:lvl w:ilvl="0" w:tplc="D6262F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15:restartNumberingAfterBreak="0">
    <w:nsid w:val="5F907510"/>
    <w:multiLevelType w:val="hybridMultilevel"/>
    <w:tmpl w:val="A52ACE5C"/>
    <w:lvl w:ilvl="0" w:tplc="837E08A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15:restartNumberingAfterBreak="0">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5" w15:restartNumberingAfterBreak="0">
    <w:nsid w:val="6660339A"/>
    <w:multiLevelType w:val="hybridMultilevel"/>
    <w:tmpl w:val="D7C8990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698B3D66"/>
    <w:multiLevelType w:val="hybridMultilevel"/>
    <w:tmpl w:val="85D83A8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A4F26BA"/>
    <w:multiLevelType w:val="hybridMultilevel"/>
    <w:tmpl w:val="BE7C42C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D105DA4"/>
    <w:multiLevelType w:val="hybridMultilevel"/>
    <w:tmpl w:val="4D925C9C"/>
    <w:lvl w:ilvl="0" w:tplc="080A000F">
      <w:start w:val="1"/>
      <w:numFmt w:val="decimal"/>
      <w:lvlText w:val="%1."/>
      <w:lvlJc w:val="left"/>
      <w:pPr>
        <w:ind w:left="2471" w:hanging="360"/>
      </w:pPr>
    </w:lvl>
    <w:lvl w:ilvl="1" w:tplc="080A0019" w:tentative="1">
      <w:start w:val="1"/>
      <w:numFmt w:val="lowerLetter"/>
      <w:lvlText w:val="%2."/>
      <w:lvlJc w:val="left"/>
      <w:pPr>
        <w:ind w:left="3191" w:hanging="360"/>
      </w:pPr>
    </w:lvl>
    <w:lvl w:ilvl="2" w:tplc="080A001B" w:tentative="1">
      <w:start w:val="1"/>
      <w:numFmt w:val="lowerRoman"/>
      <w:lvlText w:val="%3."/>
      <w:lvlJc w:val="right"/>
      <w:pPr>
        <w:ind w:left="3911" w:hanging="180"/>
      </w:pPr>
    </w:lvl>
    <w:lvl w:ilvl="3" w:tplc="080A000F" w:tentative="1">
      <w:start w:val="1"/>
      <w:numFmt w:val="decimal"/>
      <w:lvlText w:val="%4."/>
      <w:lvlJc w:val="left"/>
      <w:pPr>
        <w:ind w:left="4631" w:hanging="360"/>
      </w:pPr>
    </w:lvl>
    <w:lvl w:ilvl="4" w:tplc="080A0019" w:tentative="1">
      <w:start w:val="1"/>
      <w:numFmt w:val="lowerLetter"/>
      <w:lvlText w:val="%5."/>
      <w:lvlJc w:val="left"/>
      <w:pPr>
        <w:ind w:left="5351" w:hanging="360"/>
      </w:pPr>
    </w:lvl>
    <w:lvl w:ilvl="5" w:tplc="080A001B" w:tentative="1">
      <w:start w:val="1"/>
      <w:numFmt w:val="lowerRoman"/>
      <w:lvlText w:val="%6."/>
      <w:lvlJc w:val="right"/>
      <w:pPr>
        <w:ind w:left="6071" w:hanging="180"/>
      </w:pPr>
    </w:lvl>
    <w:lvl w:ilvl="6" w:tplc="080A000F" w:tentative="1">
      <w:start w:val="1"/>
      <w:numFmt w:val="decimal"/>
      <w:lvlText w:val="%7."/>
      <w:lvlJc w:val="left"/>
      <w:pPr>
        <w:ind w:left="6791" w:hanging="360"/>
      </w:pPr>
    </w:lvl>
    <w:lvl w:ilvl="7" w:tplc="080A0019" w:tentative="1">
      <w:start w:val="1"/>
      <w:numFmt w:val="lowerLetter"/>
      <w:lvlText w:val="%8."/>
      <w:lvlJc w:val="left"/>
      <w:pPr>
        <w:ind w:left="7511" w:hanging="360"/>
      </w:pPr>
    </w:lvl>
    <w:lvl w:ilvl="8" w:tplc="080A001B" w:tentative="1">
      <w:start w:val="1"/>
      <w:numFmt w:val="lowerRoman"/>
      <w:lvlText w:val="%9."/>
      <w:lvlJc w:val="right"/>
      <w:pPr>
        <w:ind w:left="8231" w:hanging="180"/>
      </w:pPr>
    </w:lvl>
  </w:abstractNum>
  <w:abstractNum w:abstractNumId="19" w15:restartNumberingAfterBreak="0">
    <w:nsid w:val="75EB7F57"/>
    <w:multiLevelType w:val="hybridMultilevel"/>
    <w:tmpl w:val="045483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7640E38"/>
    <w:multiLevelType w:val="hybridMultilevel"/>
    <w:tmpl w:val="DD325606"/>
    <w:lvl w:ilvl="0" w:tplc="47B422B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1" w15:restartNumberingAfterBreak="0">
    <w:nsid w:val="784E258E"/>
    <w:multiLevelType w:val="hybridMultilevel"/>
    <w:tmpl w:val="D124EFA4"/>
    <w:lvl w:ilvl="0" w:tplc="7354BD4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2" w15:restartNumberingAfterBreak="0">
    <w:nsid w:val="7F2F7036"/>
    <w:multiLevelType w:val="hybridMultilevel"/>
    <w:tmpl w:val="4DD682B6"/>
    <w:lvl w:ilvl="0" w:tplc="080A000F">
      <w:start w:val="1"/>
      <w:numFmt w:val="decimal"/>
      <w:lvlText w:val="%1."/>
      <w:lvlJc w:val="left"/>
      <w:pPr>
        <w:ind w:left="1428" w:hanging="360"/>
      </w:pPr>
      <w:rPr>
        <w:rFont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3"/>
  </w:num>
  <w:num w:numId="2">
    <w:abstractNumId w:val="20"/>
  </w:num>
  <w:num w:numId="3">
    <w:abstractNumId w:val="13"/>
  </w:num>
  <w:num w:numId="4">
    <w:abstractNumId w:val="4"/>
  </w:num>
  <w:num w:numId="5">
    <w:abstractNumId w:val="7"/>
  </w:num>
  <w:num w:numId="6">
    <w:abstractNumId w:val="11"/>
  </w:num>
  <w:num w:numId="7">
    <w:abstractNumId w:val="2"/>
  </w:num>
  <w:num w:numId="8">
    <w:abstractNumId w:val="8"/>
  </w:num>
  <w:num w:numId="9">
    <w:abstractNumId w:val="16"/>
  </w:num>
  <w:num w:numId="10">
    <w:abstractNumId w:val="17"/>
  </w:num>
  <w:num w:numId="11">
    <w:abstractNumId w:val="10"/>
  </w:num>
  <w:num w:numId="12">
    <w:abstractNumId w:val="22"/>
  </w:num>
  <w:num w:numId="13">
    <w:abstractNumId w:val="1"/>
  </w:num>
  <w:num w:numId="14">
    <w:abstractNumId w:val="18"/>
  </w:num>
  <w:num w:numId="15">
    <w:abstractNumId w:val="5"/>
  </w:num>
  <w:num w:numId="16">
    <w:abstractNumId w:val="9"/>
  </w:num>
  <w:num w:numId="17">
    <w:abstractNumId w:val="19"/>
  </w:num>
  <w:num w:numId="18">
    <w:abstractNumId w:val="0"/>
  </w:num>
  <w:num w:numId="19">
    <w:abstractNumId w:val="15"/>
  </w:num>
  <w:num w:numId="20">
    <w:abstractNumId w:val="14"/>
  </w:num>
  <w:num w:numId="21">
    <w:abstractNumId w:val="6"/>
  </w:num>
  <w:num w:numId="22">
    <w:abstractNumId w:val="21"/>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C44"/>
    <w:rsid w:val="0000036C"/>
    <w:rsid w:val="00000970"/>
    <w:rsid w:val="0001055D"/>
    <w:rsid w:val="00011F94"/>
    <w:rsid w:val="00013C06"/>
    <w:rsid w:val="000177DD"/>
    <w:rsid w:val="00025BF5"/>
    <w:rsid w:val="000320CA"/>
    <w:rsid w:val="00033326"/>
    <w:rsid w:val="00033D7E"/>
    <w:rsid w:val="000425FE"/>
    <w:rsid w:val="0004354C"/>
    <w:rsid w:val="000451BF"/>
    <w:rsid w:val="000452E7"/>
    <w:rsid w:val="00061128"/>
    <w:rsid w:val="00062D73"/>
    <w:rsid w:val="00077879"/>
    <w:rsid w:val="00077E33"/>
    <w:rsid w:val="00086406"/>
    <w:rsid w:val="00096C1B"/>
    <w:rsid w:val="000A0AEC"/>
    <w:rsid w:val="000A1D16"/>
    <w:rsid w:val="000B38D3"/>
    <w:rsid w:val="000B4951"/>
    <w:rsid w:val="000C6173"/>
    <w:rsid w:val="000C6676"/>
    <w:rsid w:val="000D5428"/>
    <w:rsid w:val="000D7425"/>
    <w:rsid w:val="000E16E9"/>
    <w:rsid w:val="000E7BEA"/>
    <w:rsid w:val="0011496B"/>
    <w:rsid w:val="001205B0"/>
    <w:rsid w:val="001271CF"/>
    <w:rsid w:val="00160177"/>
    <w:rsid w:val="00163D61"/>
    <w:rsid w:val="00177EEC"/>
    <w:rsid w:val="00190533"/>
    <w:rsid w:val="001A0323"/>
    <w:rsid w:val="001A3F9B"/>
    <w:rsid w:val="001A4183"/>
    <w:rsid w:val="001A7205"/>
    <w:rsid w:val="001A7253"/>
    <w:rsid w:val="001B3E73"/>
    <w:rsid w:val="001B67A0"/>
    <w:rsid w:val="001B7F3F"/>
    <w:rsid w:val="001C3E75"/>
    <w:rsid w:val="001D21CF"/>
    <w:rsid w:val="001D3660"/>
    <w:rsid w:val="001E7FDD"/>
    <w:rsid w:val="00202A8C"/>
    <w:rsid w:val="002041D3"/>
    <w:rsid w:val="002140ED"/>
    <w:rsid w:val="00220BFA"/>
    <w:rsid w:val="00222699"/>
    <w:rsid w:val="00244E9C"/>
    <w:rsid w:val="00256CA2"/>
    <w:rsid w:val="00261BC8"/>
    <w:rsid w:val="002670F1"/>
    <w:rsid w:val="00273CD8"/>
    <w:rsid w:val="00284664"/>
    <w:rsid w:val="00285304"/>
    <w:rsid w:val="0029291C"/>
    <w:rsid w:val="0029435C"/>
    <w:rsid w:val="00297F19"/>
    <w:rsid w:val="002A0FC4"/>
    <w:rsid w:val="002A17D6"/>
    <w:rsid w:val="002B0933"/>
    <w:rsid w:val="002B59A4"/>
    <w:rsid w:val="002B722D"/>
    <w:rsid w:val="002B740A"/>
    <w:rsid w:val="002B7451"/>
    <w:rsid w:val="002C20C3"/>
    <w:rsid w:val="002C476E"/>
    <w:rsid w:val="002D2780"/>
    <w:rsid w:val="002E615D"/>
    <w:rsid w:val="002F0DF8"/>
    <w:rsid w:val="002F279B"/>
    <w:rsid w:val="002F7E51"/>
    <w:rsid w:val="00300904"/>
    <w:rsid w:val="00310097"/>
    <w:rsid w:val="00333718"/>
    <w:rsid w:val="00336FD2"/>
    <w:rsid w:val="00345ACF"/>
    <w:rsid w:val="00346A88"/>
    <w:rsid w:val="00351465"/>
    <w:rsid w:val="00354C24"/>
    <w:rsid w:val="00356A70"/>
    <w:rsid w:val="00364166"/>
    <w:rsid w:val="0036724E"/>
    <w:rsid w:val="003709F8"/>
    <w:rsid w:val="003779B1"/>
    <w:rsid w:val="00377CD0"/>
    <w:rsid w:val="00380455"/>
    <w:rsid w:val="0038595C"/>
    <w:rsid w:val="003A6B7F"/>
    <w:rsid w:val="003B52E0"/>
    <w:rsid w:val="003B7E57"/>
    <w:rsid w:val="003C2E2E"/>
    <w:rsid w:val="003D0737"/>
    <w:rsid w:val="003D19A4"/>
    <w:rsid w:val="003D3A05"/>
    <w:rsid w:val="004026B8"/>
    <w:rsid w:val="004131C4"/>
    <w:rsid w:val="00414FBC"/>
    <w:rsid w:val="00416678"/>
    <w:rsid w:val="00420E30"/>
    <w:rsid w:val="00426851"/>
    <w:rsid w:val="004329EC"/>
    <w:rsid w:val="00435508"/>
    <w:rsid w:val="00445F5F"/>
    <w:rsid w:val="0045344E"/>
    <w:rsid w:val="00457939"/>
    <w:rsid w:val="00461580"/>
    <w:rsid w:val="004731FF"/>
    <w:rsid w:val="00484038"/>
    <w:rsid w:val="00487331"/>
    <w:rsid w:val="004A6542"/>
    <w:rsid w:val="004B19A3"/>
    <w:rsid w:val="004C0527"/>
    <w:rsid w:val="004C2A19"/>
    <w:rsid w:val="004C4E6F"/>
    <w:rsid w:val="004C50E3"/>
    <w:rsid w:val="004C5F45"/>
    <w:rsid w:val="004C6FDE"/>
    <w:rsid w:val="004C7A7C"/>
    <w:rsid w:val="004D48C1"/>
    <w:rsid w:val="004E1916"/>
    <w:rsid w:val="004E74FA"/>
    <w:rsid w:val="004F18AE"/>
    <w:rsid w:val="004F45BD"/>
    <w:rsid w:val="0050105D"/>
    <w:rsid w:val="00502874"/>
    <w:rsid w:val="005135A5"/>
    <w:rsid w:val="00532F9E"/>
    <w:rsid w:val="0053510B"/>
    <w:rsid w:val="00545919"/>
    <w:rsid w:val="005459FD"/>
    <w:rsid w:val="0054675F"/>
    <w:rsid w:val="00547C44"/>
    <w:rsid w:val="005520FD"/>
    <w:rsid w:val="005545F5"/>
    <w:rsid w:val="0056529C"/>
    <w:rsid w:val="00565459"/>
    <w:rsid w:val="00571D06"/>
    <w:rsid w:val="00572717"/>
    <w:rsid w:val="005745EE"/>
    <w:rsid w:val="00575621"/>
    <w:rsid w:val="005758E0"/>
    <w:rsid w:val="00576423"/>
    <w:rsid w:val="00577733"/>
    <w:rsid w:val="00582258"/>
    <w:rsid w:val="00585B3C"/>
    <w:rsid w:val="005A114A"/>
    <w:rsid w:val="005A2FAB"/>
    <w:rsid w:val="005B2591"/>
    <w:rsid w:val="005B517E"/>
    <w:rsid w:val="005C6336"/>
    <w:rsid w:val="005C667A"/>
    <w:rsid w:val="005F2715"/>
    <w:rsid w:val="005F3109"/>
    <w:rsid w:val="005F7945"/>
    <w:rsid w:val="006001C8"/>
    <w:rsid w:val="0060038E"/>
    <w:rsid w:val="006008C1"/>
    <w:rsid w:val="006049F5"/>
    <w:rsid w:val="00606DB8"/>
    <w:rsid w:val="00620CBC"/>
    <w:rsid w:val="00622A2D"/>
    <w:rsid w:val="006375C8"/>
    <w:rsid w:val="006429AA"/>
    <w:rsid w:val="006466EF"/>
    <w:rsid w:val="00652AEB"/>
    <w:rsid w:val="0065301A"/>
    <w:rsid w:val="00655772"/>
    <w:rsid w:val="00656316"/>
    <w:rsid w:val="00662D15"/>
    <w:rsid w:val="006738A0"/>
    <w:rsid w:val="00686EF6"/>
    <w:rsid w:val="006951A4"/>
    <w:rsid w:val="006A0884"/>
    <w:rsid w:val="006B03C4"/>
    <w:rsid w:val="006B187E"/>
    <w:rsid w:val="006B2527"/>
    <w:rsid w:val="006C2BF9"/>
    <w:rsid w:val="006E0620"/>
    <w:rsid w:val="006E50C7"/>
    <w:rsid w:val="006F0024"/>
    <w:rsid w:val="007023BB"/>
    <w:rsid w:val="0072003A"/>
    <w:rsid w:val="00720E84"/>
    <w:rsid w:val="0072313C"/>
    <w:rsid w:val="0072714A"/>
    <w:rsid w:val="00730FD6"/>
    <w:rsid w:val="00746813"/>
    <w:rsid w:val="00746974"/>
    <w:rsid w:val="00746C83"/>
    <w:rsid w:val="00747D46"/>
    <w:rsid w:val="00750387"/>
    <w:rsid w:val="00751783"/>
    <w:rsid w:val="00752887"/>
    <w:rsid w:val="00761464"/>
    <w:rsid w:val="0077242B"/>
    <w:rsid w:val="00790D00"/>
    <w:rsid w:val="007927CA"/>
    <w:rsid w:val="00792D04"/>
    <w:rsid w:val="00793762"/>
    <w:rsid w:val="007940FA"/>
    <w:rsid w:val="007A78FF"/>
    <w:rsid w:val="007B477F"/>
    <w:rsid w:val="007B7495"/>
    <w:rsid w:val="007C4897"/>
    <w:rsid w:val="007D201C"/>
    <w:rsid w:val="007D4729"/>
    <w:rsid w:val="007E10ED"/>
    <w:rsid w:val="007F5719"/>
    <w:rsid w:val="007F592D"/>
    <w:rsid w:val="00800D3F"/>
    <w:rsid w:val="00826E5D"/>
    <w:rsid w:val="00837CB2"/>
    <w:rsid w:val="00846369"/>
    <w:rsid w:val="0085044F"/>
    <w:rsid w:val="008613B8"/>
    <w:rsid w:val="0086779C"/>
    <w:rsid w:val="00876874"/>
    <w:rsid w:val="00876ED9"/>
    <w:rsid w:val="00887FD1"/>
    <w:rsid w:val="008B50B6"/>
    <w:rsid w:val="008C4124"/>
    <w:rsid w:val="0090222B"/>
    <w:rsid w:val="00907924"/>
    <w:rsid w:val="00914838"/>
    <w:rsid w:val="00923F15"/>
    <w:rsid w:val="0093242E"/>
    <w:rsid w:val="00940A0C"/>
    <w:rsid w:val="009437B2"/>
    <w:rsid w:val="009459EB"/>
    <w:rsid w:val="0095249E"/>
    <w:rsid w:val="00956DAC"/>
    <w:rsid w:val="00964445"/>
    <w:rsid w:val="0096783D"/>
    <w:rsid w:val="009740D7"/>
    <w:rsid w:val="00980424"/>
    <w:rsid w:val="009832EB"/>
    <w:rsid w:val="00983F39"/>
    <w:rsid w:val="009871C6"/>
    <w:rsid w:val="009906FE"/>
    <w:rsid w:val="00990C27"/>
    <w:rsid w:val="00995BC8"/>
    <w:rsid w:val="00995C92"/>
    <w:rsid w:val="009B5C3B"/>
    <w:rsid w:val="009C0FCA"/>
    <w:rsid w:val="009C6A00"/>
    <w:rsid w:val="009D1408"/>
    <w:rsid w:val="009E022A"/>
    <w:rsid w:val="009E1720"/>
    <w:rsid w:val="009E6D3C"/>
    <w:rsid w:val="009F01C4"/>
    <w:rsid w:val="009F20F5"/>
    <w:rsid w:val="00A07695"/>
    <w:rsid w:val="00A12D2C"/>
    <w:rsid w:val="00A26691"/>
    <w:rsid w:val="00A4611E"/>
    <w:rsid w:val="00A528FE"/>
    <w:rsid w:val="00A64E84"/>
    <w:rsid w:val="00A701FB"/>
    <w:rsid w:val="00A70B9A"/>
    <w:rsid w:val="00A70ED5"/>
    <w:rsid w:val="00A83428"/>
    <w:rsid w:val="00A906B7"/>
    <w:rsid w:val="00A970F6"/>
    <w:rsid w:val="00AB0D75"/>
    <w:rsid w:val="00AD4E8E"/>
    <w:rsid w:val="00AE0736"/>
    <w:rsid w:val="00AF16FE"/>
    <w:rsid w:val="00AF1750"/>
    <w:rsid w:val="00AF54C9"/>
    <w:rsid w:val="00B03617"/>
    <w:rsid w:val="00B12733"/>
    <w:rsid w:val="00B15DA3"/>
    <w:rsid w:val="00B22E10"/>
    <w:rsid w:val="00B25C23"/>
    <w:rsid w:val="00B55458"/>
    <w:rsid w:val="00B60427"/>
    <w:rsid w:val="00B65A11"/>
    <w:rsid w:val="00B678E4"/>
    <w:rsid w:val="00B722A5"/>
    <w:rsid w:val="00B832C3"/>
    <w:rsid w:val="00B96DFD"/>
    <w:rsid w:val="00BA3FAE"/>
    <w:rsid w:val="00BB5A3B"/>
    <w:rsid w:val="00BC33DA"/>
    <w:rsid w:val="00BD3B14"/>
    <w:rsid w:val="00BD7827"/>
    <w:rsid w:val="00BE1A0E"/>
    <w:rsid w:val="00BE287E"/>
    <w:rsid w:val="00BE3E78"/>
    <w:rsid w:val="00BE7938"/>
    <w:rsid w:val="00BF6F42"/>
    <w:rsid w:val="00BF7350"/>
    <w:rsid w:val="00C01D46"/>
    <w:rsid w:val="00C12ACF"/>
    <w:rsid w:val="00C253C0"/>
    <w:rsid w:val="00C260FA"/>
    <w:rsid w:val="00C40EA9"/>
    <w:rsid w:val="00C4314E"/>
    <w:rsid w:val="00C50C14"/>
    <w:rsid w:val="00C53E9E"/>
    <w:rsid w:val="00C55849"/>
    <w:rsid w:val="00C630FB"/>
    <w:rsid w:val="00C63190"/>
    <w:rsid w:val="00C718FB"/>
    <w:rsid w:val="00C9337E"/>
    <w:rsid w:val="00CA272D"/>
    <w:rsid w:val="00CB3BD1"/>
    <w:rsid w:val="00CF0253"/>
    <w:rsid w:val="00CF4066"/>
    <w:rsid w:val="00D05244"/>
    <w:rsid w:val="00D06717"/>
    <w:rsid w:val="00D224AF"/>
    <w:rsid w:val="00D31E6F"/>
    <w:rsid w:val="00D338A7"/>
    <w:rsid w:val="00D443C9"/>
    <w:rsid w:val="00D45965"/>
    <w:rsid w:val="00D4613F"/>
    <w:rsid w:val="00D52209"/>
    <w:rsid w:val="00D5511E"/>
    <w:rsid w:val="00D602BD"/>
    <w:rsid w:val="00D6501E"/>
    <w:rsid w:val="00D70ABC"/>
    <w:rsid w:val="00D728E1"/>
    <w:rsid w:val="00D80EDF"/>
    <w:rsid w:val="00D83741"/>
    <w:rsid w:val="00D9581E"/>
    <w:rsid w:val="00DA3AF7"/>
    <w:rsid w:val="00DA4F80"/>
    <w:rsid w:val="00DA7891"/>
    <w:rsid w:val="00DB4600"/>
    <w:rsid w:val="00DC1F2B"/>
    <w:rsid w:val="00DC4B5C"/>
    <w:rsid w:val="00DC51FF"/>
    <w:rsid w:val="00DC731B"/>
    <w:rsid w:val="00DD3263"/>
    <w:rsid w:val="00DD744A"/>
    <w:rsid w:val="00DE02F8"/>
    <w:rsid w:val="00E0206D"/>
    <w:rsid w:val="00E06B57"/>
    <w:rsid w:val="00E21254"/>
    <w:rsid w:val="00E23E5A"/>
    <w:rsid w:val="00E30E47"/>
    <w:rsid w:val="00E34788"/>
    <w:rsid w:val="00E365EC"/>
    <w:rsid w:val="00E37F7D"/>
    <w:rsid w:val="00E44447"/>
    <w:rsid w:val="00E526AB"/>
    <w:rsid w:val="00E65686"/>
    <w:rsid w:val="00E7179B"/>
    <w:rsid w:val="00E74B27"/>
    <w:rsid w:val="00E76911"/>
    <w:rsid w:val="00E93297"/>
    <w:rsid w:val="00EA0BAA"/>
    <w:rsid w:val="00EA120B"/>
    <w:rsid w:val="00EA18A6"/>
    <w:rsid w:val="00EB2F91"/>
    <w:rsid w:val="00EB4B36"/>
    <w:rsid w:val="00ED06E7"/>
    <w:rsid w:val="00ED2115"/>
    <w:rsid w:val="00ED6686"/>
    <w:rsid w:val="00ED7BBD"/>
    <w:rsid w:val="00EE0456"/>
    <w:rsid w:val="00EE0F32"/>
    <w:rsid w:val="00EE23D7"/>
    <w:rsid w:val="00EE69A4"/>
    <w:rsid w:val="00F1293C"/>
    <w:rsid w:val="00F226F1"/>
    <w:rsid w:val="00F23A09"/>
    <w:rsid w:val="00F24BFD"/>
    <w:rsid w:val="00F306AF"/>
    <w:rsid w:val="00F31B0D"/>
    <w:rsid w:val="00F41DD3"/>
    <w:rsid w:val="00F4355F"/>
    <w:rsid w:val="00F4377E"/>
    <w:rsid w:val="00F502A4"/>
    <w:rsid w:val="00F62DB3"/>
    <w:rsid w:val="00F9272E"/>
    <w:rsid w:val="00F96C7A"/>
    <w:rsid w:val="00FA039E"/>
    <w:rsid w:val="00FA1345"/>
    <w:rsid w:val="00FA1FC4"/>
    <w:rsid w:val="00FA53E9"/>
    <w:rsid w:val="00FB26AA"/>
    <w:rsid w:val="00FB77BD"/>
    <w:rsid w:val="00FC6107"/>
    <w:rsid w:val="00FD3183"/>
    <w:rsid w:val="00FD7EE6"/>
    <w:rsid w:val="00FE18F2"/>
    <w:rsid w:val="00FE1E70"/>
    <w:rsid w:val="00FE302B"/>
    <w:rsid w:val="00FE34D2"/>
    <w:rsid w:val="00FE367D"/>
    <w:rsid w:val="00FF0BA3"/>
    <w:rsid w:val="00FF3B7D"/>
    <w:rsid w:val="00FF4E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5EE27A45-C959-45C3-9F30-9770FAE0B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rPr>
      <w:rFonts w:cs="Times New Roman"/>
      <w:sz w:val="26"/>
      <w:szCs w:val="24"/>
      <w:lang w:val="es-ES" w:eastAsia="es-ES"/>
    </w:rPr>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character" w:customStyle="1" w:styleId="cs9b0541cf">
    <w:name w:val="cs9b0541cf"/>
    <w:basedOn w:val="Fuentedeprrafopredeter"/>
    <w:rsid w:val="00202A8C"/>
  </w:style>
  <w:style w:type="character" w:customStyle="1" w:styleId="cs3c846dc6">
    <w:name w:val="cs3c846dc6"/>
    <w:basedOn w:val="Fuentedeprrafopredeter"/>
    <w:rsid w:val="00202A8C"/>
  </w:style>
  <w:style w:type="character" w:customStyle="1" w:styleId="lbl-encabezado-negro">
    <w:name w:val="lbl-encabezado-negro"/>
    <w:basedOn w:val="Fuentedeprrafopredeter"/>
    <w:rsid w:val="000B4951"/>
  </w:style>
  <w:style w:type="character" w:customStyle="1" w:styleId="red">
    <w:name w:val="red"/>
    <w:basedOn w:val="Fuentedeprrafopredeter"/>
    <w:rsid w:val="00BE3E78"/>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nhideWhenUsed/>
    <w:rsid w:val="00244E9C"/>
    <w:pPr>
      <w:spacing w:line="240" w:lineRule="auto"/>
      <w:jc w:val="left"/>
    </w:pPr>
    <w:rPr>
      <w:rFonts w:ascii="Arial" w:hAnsi="Arial" w:cs="Arial"/>
      <w:sz w:val="20"/>
      <w:szCs w:val="20"/>
      <w:lang w:val="es-MX"/>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rsid w:val="00244E9C"/>
    <w:rPr>
      <w:rFonts w:ascii="Arial" w:hAnsi="Arial" w:cs="Arial"/>
      <w:sz w:val="20"/>
      <w:szCs w:val="20"/>
      <w:lang w:eastAsia="es-E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nhideWhenUsed/>
    <w:rsid w:val="00244E9C"/>
    <w:rPr>
      <w:vertAlign w:val="superscript"/>
    </w:rPr>
  </w:style>
  <w:style w:type="character" w:customStyle="1" w:styleId="corte4fondoCar1">
    <w:name w:val="corte4 fondo Car1"/>
    <w:link w:val="corte4fondo"/>
    <w:locked/>
    <w:rsid w:val="00F24BFD"/>
    <w:rPr>
      <w:rFonts w:ascii="Arial" w:hAnsi="Arial" w:cs="Times New Roman"/>
      <w:sz w:val="30"/>
      <w:szCs w:val="20"/>
      <w:lang w:eastAsia="es-ES"/>
    </w:rPr>
  </w:style>
  <w:style w:type="paragraph" w:customStyle="1" w:styleId="corte4fondo">
    <w:name w:val="corte4 fondo"/>
    <w:basedOn w:val="Normal"/>
    <w:link w:val="corte4fondoCar1"/>
    <w:qFormat/>
    <w:rsid w:val="00F24BFD"/>
    <w:pPr>
      <w:ind w:firstLine="709"/>
    </w:pPr>
    <w:rPr>
      <w:rFonts w:ascii="Arial" w:hAnsi="Arial"/>
      <w:sz w:val="30"/>
      <w:szCs w:val="20"/>
      <w:lang w:val="es-MX"/>
    </w:rPr>
  </w:style>
  <w:style w:type="paragraph" w:customStyle="1" w:styleId="Estilo">
    <w:name w:val="Estilo"/>
    <w:basedOn w:val="Sinespaciado"/>
    <w:link w:val="EstiloCar"/>
    <w:qFormat/>
    <w:rsid w:val="00826E5D"/>
    <w:rPr>
      <w:rFonts w:ascii="Arial" w:eastAsiaTheme="minorHAnsi" w:hAnsi="Arial" w:cstheme="minorBidi"/>
      <w:sz w:val="24"/>
      <w:szCs w:val="22"/>
      <w:lang w:val="es-MX" w:eastAsia="en-US"/>
    </w:rPr>
  </w:style>
  <w:style w:type="character" w:customStyle="1" w:styleId="EstiloCar">
    <w:name w:val="Estilo Car"/>
    <w:basedOn w:val="Fuentedeprrafopredeter"/>
    <w:link w:val="Estilo"/>
    <w:rsid w:val="00826E5D"/>
    <w:rPr>
      <w:rFonts w:ascii="Arial" w:eastAsiaTheme="minorHAnsi" w:hAnsi="Arial"/>
      <w:sz w:val="24"/>
    </w:rPr>
  </w:style>
  <w:style w:type="paragraph" w:styleId="Sinespaciado">
    <w:name w:val="No Spacing"/>
    <w:uiPriority w:val="1"/>
    <w:qFormat/>
    <w:rsid w:val="00826E5D"/>
    <w:pPr>
      <w:spacing w:after="0" w:line="240" w:lineRule="auto"/>
      <w:jc w:val="both"/>
    </w:pPr>
    <w:rPr>
      <w:rFonts w:cs="Times New Roman"/>
      <w:sz w:val="26"/>
      <w:szCs w:val="24"/>
      <w:lang w:val="es-ES" w:eastAsia="es-ES"/>
    </w:rPr>
  </w:style>
  <w:style w:type="paragraph" w:styleId="Sangradetextonormal">
    <w:name w:val="Body Text Indent"/>
    <w:basedOn w:val="Normal"/>
    <w:link w:val="SangradetextonormalCar"/>
    <w:rsid w:val="00620CBC"/>
    <w:pPr>
      <w:spacing w:after="120" w:line="240" w:lineRule="auto"/>
      <w:ind w:left="283"/>
      <w:jc w:val="left"/>
    </w:pPr>
    <w:rPr>
      <w:rFonts w:ascii="Times New Roman" w:hAnsi="Times New Roman"/>
      <w:sz w:val="24"/>
    </w:rPr>
  </w:style>
  <w:style w:type="character" w:customStyle="1" w:styleId="SangradetextonormalCar">
    <w:name w:val="Sangría de texto normal Car"/>
    <w:basedOn w:val="Fuentedeprrafopredeter"/>
    <w:link w:val="Sangradetextonormal"/>
    <w:rsid w:val="00620CBC"/>
    <w:rPr>
      <w:rFonts w:ascii="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063992">
      <w:bodyDiv w:val="1"/>
      <w:marLeft w:val="0"/>
      <w:marRight w:val="0"/>
      <w:marTop w:val="0"/>
      <w:marBottom w:val="0"/>
      <w:divBdr>
        <w:top w:val="none" w:sz="0" w:space="0" w:color="auto"/>
        <w:left w:val="none" w:sz="0" w:space="0" w:color="auto"/>
        <w:bottom w:val="none" w:sz="0" w:space="0" w:color="auto"/>
        <w:right w:val="none" w:sz="0" w:space="0" w:color="auto"/>
      </w:divBdr>
      <w:divsChild>
        <w:div w:id="1400251041">
          <w:marLeft w:val="0"/>
          <w:marRight w:val="0"/>
          <w:marTop w:val="0"/>
          <w:marBottom w:val="0"/>
          <w:divBdr>
            <w:top w:val="none" w:sz="0" w:space="0" w:color="auto"/>
            <w:left w:val="none" w:sz="0" w:space="0" w:color="auto"/>
            <w:bottom w:val="none" w:sz="0" w:space="0" w:color="auto"/>
            <w:right w:val="none" w:sz="0" w:space="0" w:color="auto"/>
          </w:divBdr>
        </w:div>
      </w:divsChild>
    </w:div>
    <w:div w:id="765002476">
      <w:bodyDiv w:val="1"/>
      <w:marLeft w:val="0"/>
      <w:marRight w:val="0"/>
      <w:marTop w:val="0"/>
      <w:marBottom w:val="0"/>
      <w:divBdr>
        <w:top w:val="none" w:sz="0" w:space="0" w:color="auto"/>
        <w:left w:val="none" w:sz="0" w:space="0" w:color="auto"/>
        <w:bottom w:val="none" w:sz="0" w:space="0" w:color="auto"/>
        <w:right w:val="none" w:sz="0" w:space="0" w:color="auto"/>
      </w:divBdr>
    </w:div>
    <w:div w:id="933363932">
      <w:bodyDiv w:val="1"/>
      <w:marLeft w:val="0"/>
      <w:marRight w:val="0"/>
      <w:marTop w:val="0"/>
      <w:marBottom w:val="0"/>
      <w:divBdr>
        <w:top w:val="none" w:sz="0" w:space="0" w:color="auto"/>
        <w:left w:val="none" w:sz="0" w:space="0" w:color="auto"/>
        <w:bottom w:val="none" w:sz="0" w:space="0" w:color="auto"/>
        <w:right w:val="none" w:sz="0" w:space="0" w:color="auto"/>
      </w:divBdr>
    </w:div>
    <w:div w:id="964505087">
      <w:bodyDiv w:val="1"/>
      <w:marLeft w:val="0"/>
      <w:marRight w:val="0"/>
      <w:marTop w:val="0"/>
      <w:marBottom w:val="0"/>
      <w:divBdr>
        <w:top w:val="none" w:sz="0" w:space="0" w:color="auto"/>
        <w:left w:val="none" w:sz="0" w:space="0" w:color="auto"/>
        <w:bottom w:val="none" w:sz="0" w:space="0" w:color="auto"/>
        <w:right w:val="none" w:sz="0" w:space="0" w:color="auto"/>
      </w:divBdr>
      <w:divsChild>
        <w:div w:id="1490251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historico.juridicas.unam.mx/publica/librev/rev/revenj/cont/11/dtr/dtr2.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5B6B78-31AB-4080-A6BD-BA488ED17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14</Pages>
  <Words>4387</Words>
  <Characters>24130</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Michelle Vazquez</cp:lastModifiedBy>
  <cp:revision>20</cp:revision>
  <cp:lastPrinted>2018-02-15T14:32:00Z</cp:lastPrinted>
  <dcterms:created xsi:type="dcterms:W3CDTF">2018-02-12T18:02:00Z</dcterms:created>
  <dcterms:modified xsi:type="dcterms:W3CDTF">2018-02-15T14:32:00Z</dcterms:modified>
</cp:coreProperties>
</file>